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B7CB" w14:textId="255DD974" w:rsidR="00276D2A" w:rsidRDefault="00CD7658" w:rsidP="000159F9">
      <w:pPr>
        <w:jc w:val="center"/>
        <w:rPr>
          <w:b/>
          <w:bCs/>
          <w:sz w:val="32"/>
          <w:szCs w:val="32"/>
        </w:rPr>
      </w:pPr>
      <w:r>
        <w:rPr>
          <w:b/>
          <w:bCs/>
          <w:sz w:val="32"/>
          <w:szCs w:val="32"/>
        </w:rPr>
        <w:t>All is Good</w:t>
      </w:r>
    </w:p>
    <w:p w14:paraId="772E97FB" w14:textId="7E33AC8A" w:rsidR="000159F9" w:rsidRDefault="000159F9" w:rsidP="00276D2A">
      <w:pPr>
        <w:rPr>
          <w:b/>
          <w:bCs/>
          <w:sz w:val="32"/>
          <w:szCs w:val="32"/>
        </w:rPr>
      </w:pPr>
      <w:r w:rsidRPr="000E6B98">
        <w:rPr>
          <w:b/>
          <w:bCs/>
          <w:sz w:val="32"/>
          <w:szCs w:val="32"/>
        </w:rPr>
        <w:t xml:space="preserve">The Increasing Trend of Negative Energy </w:t>
      </w:r>
      <w:r w:rsidR="00276D2A" w:rsidRPr="000E6B98">
        <w:rPr>
          <w:b/>
          <w:bCs/>
          <w:sz w:val="32"/>
          <w:szCs w:val="32"/>
        </w:rPr>
        <w:t xml:space="preserve">Pricing </w:t>
      </w:r>
      <w:r w:rsidR="00A43672">
        <w:rPr>
          <w:b/>
          <w:bCs/>
          <w:sz w:val="32"/>
          <w:szCs w:val="32"/>
        </w:rPr>
        <w:t xml:space="preserve">and Renewable Energy </w:t>
      </w:r>
      <w:r w:rsidR="00276D2A">
        <w:rPr>
          <w:b/>
          <w:bCs/>
          <w:sz w:val="32"/>
          <w:szCs w:val="32"/>
        </w:rPr>
        <w:t xml:space="preserve">Curtailments </w:t>
      </w:r>
      <w:r w:rsidRPr="000E6B98">
        <w:rPr>
          <w:b/>
          <w:bCs/>
          <w:sz w:val="32"/>
          <w:szCs w:val="32"/>
        </w:rPr>
        <w:t>in Californi</w:t>
      </w:r>
      <w:r w:rsidR="00F02804">
        <w:rPr>
          <w:b/>
          <w:bCs/>
          <w:sz w:val="32"/>
          <w:szCs w:val="32"/>
        </w:rPr>
        <w:t>a</w:t>
      </w:r>
      <w:r w:rsidR="00717FD0">
        <w:rPr>
          <w:b/>
          <w:bCs/>
          <w:sz w:val="32"/>
          <w:szCs w:val="32"/>
        </w:rPr>
        <w:t xml:space="preserve"> – Is </w:t>
      </w:r>
      <w:r w:rsidR="00A43672">
        <w:rPr>
          <w:b/>
          <w:bCs/>
          <w:sz w:val="32"/>
          <w:szCs w:val="32"/>
        </w:rPr>
        <w:t xml:space="preserve">This </w:t>
      </w:r>
      <w:r w:rsidR="00717FD0">
        <w:rPr>
          <w:b/>
          <w:bCs/>
          <w:sz w:val="32"/>
          <w:szCs w:val="32"/>
        </w:rPr>
        <w:t xml:space="preserve">a Problem or an </w:t>
      </w:r>
      <w:r w:rsidR="00A43672">
        <w:rPr>
          <w:b/>
          <w:bCs/>
          <w:sz w:val="32"/>
          <w:szCs w:val="32"/>
        </w:rPr>
        <w:t>E</w:t>
      </w:r>
      <w:r w:rsidR="00717FD0">
        <w:rPr>
          <w:b/>
          <w:bCs/>
          <w:sz w:val="32"/>
          <w:szCs w:val="32"/>
        </w:rPr>
        <w:t xml:space="preserve">xpected </w:t>
      </w:r>
      <w:r w:rsidR="00A43672">
        <w:rPr>
          <w:b/>
          <w:bCs/>
          <w:sz w:val="32"/>
          <w:szCs w:val="32"/>
        </w:rPr>
        <w:t>O</w:t>
      </w:r>
      <w:r w:rsidR="00717FD0">
        <w:rPr>
          <w:b/>
          <w:bCs/>
          <w:sz w:val="32"/>
          <w:szCs w:val="32"/>
        </w:rPr>
        <w:t>utcome</w:t>
      </w:r>
      <w:r w:rsidR="00A43672">
        <w:rPr>
          <w:b/>
          <w:bCs/>
          <w:sz w:val="32"/>
          <w:szCs w:val="32"/>
        </w:rPr>
        <w:t xml:space="preserve"> of a Rationally Functioning Market?</w:t>
      </w:r>
      <w:r w:rsidR="00717FD0">
        <w:rPr>
          <w:b/>
          <w:bCs/>
          <w:sz w:val="32"/>
          <w:szCs w:val="32"/>
        </w:rPr>
        <w:t xml:space="preserve"> </w:t>
      </w:r>
    </w:p>
    <w:p w14:paraId="2EECB0D0" w14:textId="2D4E9AAC" w:rsidR="00EC6886" w:rsidRDefault="0000540F" w:rsidP="00716577">
      <w:r>
        <w:t xml:space="preserve">By Nicole Ramos and Ziad Alaywan P.E. </w:t>
      </w:r>
    </w:p>
    <w:p w14:paraId="39194B5E" w14:textId="41E2B34E" w:rsidR="00276D2A" w:rsidRDefault="00765D86" w:rsidP="00716577">
      <w:r>
        <w:t xml:space="preserve">There has been a lot of discussion </w:t>
      </w:r>
      <w:r w:rsidR="00CE1365">
        <w:t>regarding</w:t>
      </w:r>
      <w:r w:rsidR="00A43672">
        <w:t xml:space="preserve"> </w:t>
      </w:r>
      <w:r>
        <w:t>renewable</w:t>
      </w:r>
      <w:r w:rsidR="00A43672">
        <w:t xml:space="preserve"> energy </w:t>
      </w:r>
      <w:r w:rsidR="0000540F">
        <w:t>curtailments,</w:t>
      </w:r>
      <w:r>
        <w:t xml:space="preserve"> and some believe it’s a big problem. I </w:t>
      </w:r>
      <w:r w:rsidR="0000540F">
        <w:t>dug deeper</w:t>
      </w:r>
      <w:r w:rsidR="00276D2A">
        <w:t xml:space="preserve"> and</w:t>
      </w:r>
      <w:r w:rsidR="00CE1365">
        <w:t>,</w:t>
      </w:r>
      <w:r w:rsidR="00276D2A">
        <w:t xml:space="preserve"> as you</w:t>
      </w:r>
      <w:r w:rsidR="00D21148">
        <w:t>’ll read</w:t>
      </w:r>
      <w:r w:rsidR="00276D2A">
        <w:t xml:space="preserve">, curtailments and negative pricing </w:t>
      </w:r>
      <w:r w:rsidR="00A43672">
        <w:t xml:space="preserve">are </w:t>
      </w:r>
      <w:r w:rsidR="00EE69BD">
        <w:t>not</w:t>
      </w:r>
      <w:r w:rsidR="00276D2A">
        <w:t xml:space="preserve"> as big </w:t>
      </w:r>
      <w:r w:rsidR="00CE1365">
        <w:t xml:space="preserve">of </w:t>
      </w:r>
      <w:r w:rsidR="00276D2A">
        <w:t xml:space="preserve">an issue as some may think but somehow </w:t>
      </w:r>
      <w:r w:rsidR="005A4B29">
        <w:t>it</w:t>
      </w:r>
      <w:r w:rsidR="00276D2A">
        <w:t xml:space="preserve"> gets a lot of attention.</w:t>
      </w:r>
    </w:p>
    <w:p w14:paraId="660180A5" w14:textId="3AD37D39" w:rsidR="007C2FA7" w:rsidRDefault="0046690A" w:rsidP="00716577">
      <w:r>
        <w:t>California has experienced a significant increase in the number of hours when energy prices turn negative, a trend most prominent</w:t>
      </w:r>
      <w:r w:rsidR="00A43672">
        <w:t>ly observed</w:t>
      </w:r>
      <w:r>
        <w:t xml:space="preserve"> during the</w:t>
      </w:r>
      <w:r w:rsidR="00A43672">
        <w:rPr>
          <w:vertAlign w:val="superscript"/>
        </w:rPr>
        <w:t xml:space="preserve"> </w:t>
      </w:r>
      <w:r w:rsidR="00EE69BD">
        <w:t>first</w:t>
      </w:r>
      <w:r w:rsidR="007C2FA7">
        <w:t xml:space="preserve"> six months of the year </w:t>
      </w:r>
      <w:r>
        <w:t xml:space="preserve">when </w:t>
      </w:r>
      <w:r w:rsidR="007C2FA7">
        <w:t xml:space="preserve">demand is </w:t>
      </w:r>
      <w:r w:rsidR="0000540F">
        <w:t>low.</w:t>
      </w:r>
      <w:r w:rsidR="00A43672">
        <w:t xml:space="preserve"> It </w:t>
      </w:r>
      <w:r w:rsidR="007C2FA7">
        <w:t xml:space="preserve">is </w:t>
      </w:r>
      <w:r w:rsidR="00EE69BD">
        <w:t>exacerbated when</w:t>
      </w:r>
      <w:r w:rsidR="00A43672">
        <w:t xml:space="preserve"> </w:t>
      </w:r>
      <w:r>
        <w:t xml:space="preserve">hydroelectric generation </w:t>
      </w:r>
      <w:r w:rsidR="00E1283C">
        <w:t>must</w:t>
      </w:r>
      <w:r w:rsidR="003270CD">
        <w:t xml:space="preserve"> release water</w:t>
      </w:r>
      <w:r w:rsidR="001D40CB">
        <w:t xml:space="preserve"> as the snow melts during spring just as</w:t>
      </w:r>
      <w:r w:rsidR="003270CD">
        <w:t xml:space="preserve"> d</w:t>
      </w:r>
      <w:r w:rsidR="001D40CB">
        <w:t>ays are getting longer and solar starts producing more.</w:t>
      </w:r>
      <w:r w:rsidR="007C2FA7">
        <w:t xml:space="preserve"> </w:t>
      </w:r>
    </w:p>
    <w:p w14:paraId="7710ABDB" w14:textId="043F53F7" w:rsidR="005A218E" w:rsidRDefault="00A43672" w:rsidP="00716577">
      <w:r>
        <w:t xml:space="preserve"> </w:t>
      </w:r>
      <w:r w:rsidR="00CE1365">
        <w:t>T</w:t>
      </w:r>
      <w:r>
        <w:t xml:space="preserve">he electricity market </w:t>
      </w:r>
      <w:r w:rsidR="00CE1365">
        <w:t xml:space="preserve">isn’t </w:t>
      </w:r>
      <w:r>
        <w:t>unique</w:t>
      </w:r>
      <w:r w:rsidR="00CE1365">
        <w:t xml:space="preserve"> </w:t>
      </w:r>
      <w:r w:rsidR="0000540F">
        <w:t>in yielding</w:t>
      </w:r>
      <w:r w:rsidR="006F0DE9">
        <w:t xml:space="preserve"> n</w:t>
      </w:r>
      <w:r w:rsidR="00E4425B">
        <w:t xml:space="preserve">egative prices </w:t>
      </w:r>
      <w:r w:rsidR="006F0DE9">
        <w:t>that result in energy suppliers paying to produce electricity</w:t>
      </w:r>
      <w:r w:rsidR="00CE1365">
        <w:t>.</w:t>
      </w:r>
      <w:r w:rsidR="006F0DE9">
        <w:t xml:space="preserve"> </w:t>
      </w:r>
      <w:r w:rsidR="00CE1365">
        <w:t xml:space="preserve">Take for instance </w:t>
      </w:r>
      <w:r w:rsidR="006F0DE9">
        <w:t>the Christmas tree market</w:t>
      </w:r>
      <w:r w:rsidR="00CE1365">
        <w:t>.</w:t>
      </w:r>
      <w:r w:rsidR="006F0DE9">
        <w:t xml:space="preserve"> If I want to buy a Christmas tree before December 25, it will cost over $100 (unless I buy a Charlie Brown Christmas tree).  But what if I wait until December 26 to buy a Christmas tree?  I can have my pick of any tree on the lot for free</w:t>
      </w:r>
      <w:r w:rsidR="006F0DE9">
        <w:rPr>
          <w:rStyle w:val="FootnoteReference"/>
        </w:rPr>
        <w:footnoteReference w:id="1"/>
      </w:r>
      <w:r w:rsidR="006F0DE9">
        <w:t xml:space="preserve">.  Sometimes the lot owner might even pay me to haul away a truckload of trees. </w:t>
      </w:r>
      <w:r w:rsidR="005A218E">
        <w:t>The quality of the tree hasn’t changed between December 24 and December 26.  But timing has changed the market conditions and thus the value of the product</w:t>
      </w:r>
      <w:r w:rsidR="005A218E">
        <w:rPr>
          <w:rStyle w:val="FootnoteReference"/>
        </w:rPr>
        <w:footnoteReference w:id="2"/>
      </w:r>
      <w:r w:rsidR="005A218E">
        <w:t xml:space="preserve">.  </w:t>
      </w:r>
    </w:p>
    <w:p w14:paraId="3224DA5E" w14:textId="71BCF862" w:rsidR="00E4425B" w:rsidRDefault="005A218E" w:rsidP="00716577">
      <w:r>
        <w:t xml:space="preserve">Similarly, </w:t>
      </w:r>
      <w:r w:rsidR="00E4425B">
        <w:t xml:space="preserve">in the wholesale energy business, </w:t>
      </w:r>
      <w:r>
        <w:t>timing affects the market value of energy product</w:t>
      </w:r>
      <w:r w:rsidR="005B2215">
        <w:t>s</w:t>
      </w:r>
      <w:r>
        <w:t>.  S</w:t>
      </w:r>
      <w:r w:rsidR="00E4425B">
        <w:t xml:space="preserve">uppliers </w:t>
      </w:r>
      <w:r>
        <w:t xml:space="preserve">respond to the market and </w:t>
      </w:r>
      <w:r w:rsidR="00276D2A">
        <w:t xml:space="preserve">elect, </w:t>
      </w:r>
      <w:r w:rsidR="005B2215">
        <w:t xml:space="preserve">rather than be </w:t>
      </w:r>
      <w:r w:rsidR="0000540F">
        <w:t>forced</w:t>
      </w:r>
      <w:r w:rsidR="00276D2A">
        <w:t xml:space="preserve"> to pay</w:t>
      </w:r>
      <w:r w:rsidR="00E4425B">
        <w:t xml:space="preserve"> to generate during certain hours of the year.  In fact, as you see below and in the summary report </w:t>
      </w:r>
      <w:r w:rsidR="00944BE4">
        <w:t xml:space="preserve">below </w:t>
      </w:r>
      <w:r w:rsidR="0089754B">
        <w:t>the electricity market is behaving rationally and the overall volume and value of renewable energy curtailment is a small fraction of the wholesale electricity sold and consumed.</w:t>
      </w:r>
    </w:p>
    <w:p w14:paraId="40F93D62" w14:textId="414C7D09" w:rsidR="00B641A6" w:rsidRDefault="00B641A6" w:rsidP="00B641A6">
      <w:r>
        <w:lastRenderedPageBreak/>
        <w:t>In 2023, the total CAISO estimated wholesale cost of serving load in 2023 was about $14.5 billion or about $65/MWh for 223 TWh</w:t>
      </w:r>
      <w:r w:rsidR="00276D2A">
        <w:t xml:space="preserve"> of </w:t>
      </w:r>
      <w:r w:rsidR="0089754B">
        <w:t xml:space="preserve">customer </w:t>
      </w:r>
      <w:r w:rsidR="00276D2A">
        <w:t xml:space="preserve">load served </w:t>
      </w:r>
      <w:r w:rsidR="0089754B">
        <w:t xml:space="preserve">by the </w:t>
      </w:r>
      <w:r w:rsidR="00276D2A">
        <w:t>CAISO</w:t>
      </w:r>
      <w:r>
        <w:t>. This represents a 32 percent decrease from about $95/MWh or $21.6 billion for 230</w:t>
      </w:r>
      <w:r w:rsidR="00B9260C">
        <w:t xml:space="preserve"> </w:t>
      </w:r>
      <w:r>
        <w:t>TWh in 2022 (</w:t>
      </w:r>
      <w:hyperlink r:id="rId8" w:history="1">
        <w:r>
          <w:rPr>
            <w:rStyle w:val="Hyperlink"/>
          </w:rPr>
          <w:t>2023-CAISO annual-report, Page 86</w:t>
        </w:r>
      </w:hyperlink>
      <w:r>
        <w:t>)</w:t>
      </w:r>
      <w:r w:rsidR="006C5B02">
        <w:t xml:space="preserve">. Since 2024 similar numbers are not publicly available, we assume </w:t>
      </w:r>
      <w:r w:rsidR="009328AD">
        <w:t xml:space="preserve">that in </w:t>
      </w:r>
      <w:r w:rsidR="006C5B02">
        <w:t xml:space="preserve">2024 </w:t>
      </w:r>
      <w:r w:rsidR="009328AD">
        <w:t xml:space="preserve">the amount of load served and the </w:t>
      </w:r>
      <w:r w:rsidR="006C5B02">
        <w:t xml:space="preserve">wholesale cost </w:t>
      </w:r>
      <w:r w:rsidR="009328AD">
        <w:t>are</w:t>
      </w:r>
      <w:r w:rsidR="006C5B02">
        <w:t xml:space="preserve"> </w:t>
      </w:r>
      <w:proofErr w:type="gramStart"/>
      <w:r w:rsidR="006C5B02">
        <w:t>similar to</w:t>
      </w:r>
      <w:proofErr w:type="gramEnd"/>
      <w:r w:rsidR="006C5B02">
        <w:t xml:space="preserve"> 2023. </w:t>
      </w:r>
    </w:p>
    <w:p w14:paraId="69677909" w14:textId="2E528611" w:rsidR="00EC6886" w:rsidRDefault="00133580" w:rsidP="00716577">
      <w:r w:rsidRPr="00133580">
        <w:rPr>
          <w:b/>
          <w:bCs/>
        </w:rPr>
        <w:t>What are curtailments?</w:t>
      </w:r>
      <w:r>
        <w:t xml:space="preserve"> </w:t>
      </w:r>
      <w:r w:rsidR="007C2FA7">
        <w:t>W</w:t>
      </w:r>
      <w:r>
        <w:t>h</w:t>
      </w:r>
      <w:r w:rsidR="007C2FA7">
        <w:t xml:space="preserve">en the system is experiencing </w:t>
      </w:r>
      <w:r w:rsidR="00EC6886">
        <w:t>oversupply,</w:t>
      </w:r>
      <w:r w:rsidR="007C2FA7">
        <w:t xml:space="preserve"> CAISO </w:t>
      </w:r>
      <w:r w:rsidR="00E1283C">
        <w:t>turns</w:t>
      </w:r>
      <w:r w:rsidR="007C2FA7">
        <w:t xml:space="preserve"> to the market to provide an economic signal to reduce generation. Suppliers will bid a </w:t>
      </w:r>
      <w:proofErr w:type="gramStart"/>
      <w:r w:rsidR="007C2FA7">
        <w:t>price</w:t>
      </w:r>
      <w:proofErr w:type="gramEnd"/>
      <w:r w:rsidR="007C2FA7">
        <w:t xml:space="preserve"> $/MWh and </w:t>
      </w:r>
      <w:r w:rsidR="0000540F">
        <w:t>an MW</w:t>
      </w:r>
      <w:r w:rsidR="007958D7">
        <w:t xml:space="preserve"> </w:t>
      </w:r>
      <w:r w:rsidR="00276D2A">
        <w:t>q</w:t>
      </w:r>
      <w:r w:rsidR="007C2FA7">
        <w:t>ua</w:t>
      </w:r>
      <w:r w:rsidR="00432BEB">
        <w:t>ntity</w:t>
      </w:r>
      <w:r w:rsidR="007C2FA7">
        <w:t xml:space="preserve"> into the CAISO market. If supplier</w:t>
      </w:r>
      <w:r w:rsidR="007958D7">
        <w:t xml:space="preserve"> 1</w:t>
      </w:r>
      <w:r w:rsidR="007C2FA7">
        <w:t xml:space="preserve"> </w:t>
      </w:r>
      <w:r w:rsidR="00E1283C">
        <w:t xml:space="preserve">(S1) </w:t>
      </w:r>
      <w:r>
        <w:t>bids</w:t>
      </w:r>
      <w:r w:rsidR="007C2FA7">
        <w:t xml:space="preserve"> 50 </w:t>
      </w:r>
      <w:r>
        <w:t>MW</w:t>
      </w:r>
      <w:r w:rsidR="00E1283C">
        <w:t xml:space="preserve"> </w:t>
      </w:r>
      <w:r w:rsidR="009328AD">
        <w:t>at negative $</w:t>
      </w:r>
      <w:r w:rsidR="006C5B02">
        <w:t>26</w:t>
      </w:r>
      <w:r w:rsidR="007C2FA7">
        <w:t xml:space="preserve">/MWh and </w:t>
      </w:r>
      <w:r w:rsidR="007958D7">
        <w:t>s</w:t>
      </w:r>
      <w:r w:rsidR="007C2FA7">
        <w:t>upplier</w:t>
      </w:r>
      <w:r w:rsidR="007958D7">
        <w:t xml:space="preserve"> 2</w:t>
      </w:r>
      <w:r w:rsidR="007C2FA7">
        <w:t xml:space="preserve"> </w:t>
      </w:r>
      <w:r w:rsidR="00E1283C">
        <w:t>(S2)</w:t>
      </w:r>
      <w:r w:rsidR="007C2FA7">
        <w:t xml:space="preserve"> bid</w:t>
      </w:r>
      <w:r w:rsidR="009328AD">
        <w:t>s</w:t>
      </w:r>
      <w:r w:rsidR="007C2FA7">
        <w:t xml:space="preserve"> </w:t>
      </w:r>
      <w:r w:rsidR="00E1283C">
        <w:t xml:space="preserve">50 MW at </w:t>
      </w:r>
      <w:r w:rsidR="009328AD">
        <w:t>positive$20</w:t>
      </w:r>
      <w:r w:rsidR="007C2FA7">
        <w:t xml:space="preserve">/MWh and the CAISO </w:t>
      </w:r>
      <w:r w:rsidR="00E4425B">
        <w:t xml:space="preserve">is buying </w:t>
      </w:r>
      <w:r w:rsidR="00E1283C">
        <w:t>50</w:t>
      </w:r>
      <w:r w:rsidR="007C2FA7">
        <w:t xml:space="preserve"> MW for a given hour,</w:t>
      </w:r>
      <w:r w:rsidR="009328AD">
        <w:t xml:space="preserve"> then</w:t>
      </w:r>
      <w:r w:rsidR="00E1283C">
        <w:t xml:space="preserve"> S</w:t>
      </w:r>
      <w:r w:rsidR="006C5B02">
        <w:t>1</w:t>
      </w:r>
      <w:r w:rsidR="00E1283C">
        <w:t xml:space="preserve"> is marginal</w:t>
      </w:r>
      <w:r w:rsidR="009328AD">
        <w:t xml:space="preserve"> because the CAISO, as a rational buyer, would elect to buy the lowest cost product.  </w:t>
      </w:r>
      <w:r w:rsidR="00E1283C">
        <w:t>S</w:t>
      </w:r>
      <w:r w:rsidR="006C5B02">
        <w:t>1</w:t>
      </w:r>
      <w:r w:rsidR="007C2FA7">
        <w:t xml:space="preserve"> </w:t>
      </w:r>
      <w:r w:rsidR="00EC6886">
        <w:t>sets</w:t>
      </w:r>
      <w:r w:rsidR="00E1283C">
        <w:t xml:space="preserve"> the energy clearing price for the entire system</w:t>
      </w:r>
      <w:r w:rsidR="007958D7">
        <w:t>. I</w:t>
      </w:r>
      <w:r w:rsidR="00E1283C">
        <w:t>n this case</w:t>
      </w:r>
      <w:r w:rsidR="009328AD">
        <w:t xml:space="preserve">, </w:t>
      </w:r>
      <w:r w:rsidR="007958D7">
        <w:t xml:space="preserve">it is </w:t>
      </w:r>
      <w:r w:rsidR="009328AD">
        <w:t>negative $26/MWh</w:t>
      </w:r>
      <w:r w:rsidR="00E1283C">
        <w:t>,</w:t>
      </w:r>
    </w:p>
    <w:p w14:paraId="34C18889" w14:textId="1AD66087" w:rsidR="006C5B02" w:rsidRPr="006C5B02" w:rsidRDefault="006C5B02" w:rsidP="006C5B02">
      <w:pPr>
        <w:pStyle w:val="ListParagraph"/>
        <w:numPr>
          <w:ilvl w:val="0"/>
          <w:numId w:val="1"/>
        </w:numPr>
      </w:pPr>
      <w:r w:rsidRPr="006C5B02">
        <w:t>S1</w:t>
      </w:r>
      <w:r w:rsidR="009328AD">
        <w:t>’s</w:t>
      </w:r>
      <w:r w:rsidRPr="006C5B02">
        <w:t xml:space="preserve"> </w:t>
      </w:r>
      <w:r w:rsidR="00276D2A">
        <w:t xml:space="preserve">bid </w:t>
      </w:r>
      <w:r w:rsidRPr="006C5B02">
        <w:t xml:space="preserve">at </w:t>
      </w:r>
      <w:r w:rsidR="009328AD">
        <w:t>negative</w:t>
      </w:r>
      <w:r w:rsidRPr="006C5B02">
        <w:t xml:space="preserve"> </w:t>
      </w:r>
      <w:r w:rsidR="009328AD">
        <w:t>$</w:t>
      </w:r>
      <w:r w:rsidRPr="006C5B02">
        <w:t>26/MWh set</w:t>
      </w:r>
      <w:r w:rsidR="00B9770D">
        <w:t>s</w:t>
      </w:r>
      <w:r w:rsidRPr="006C5B02">
        <w:t xml:space="preserve"> the energy clearing price</w:t>
      </w:r>
      <w:r w:rsidR="00276D2A">
        <w:t xml:space="preserve">. S1 </w:t>
      </w:r>
      <w:r w:rsidRPr="006C5B02">
        <w:t xml:space="preserve">will continue to operate but must pay to produce energy because the energy clearing price is negative. </w:t>
      </w:r>
    </w:p>
    <w:p w14:paraId="537310C8" w14:textId="16C1A561" w:rsidR="00EC6886" w:rsidRDefault="00EC6886" w:rsidP="00E4425B">
      <w:pPr>
        <w:pStyle w:val="ListParagraph"/>
        <w:numPr>
          <w:ilvl w:val="0"/>
          <w:numId w:val="1"/>
        </w:numPr>
      </w:pPr>
      <w:r w:rsidRPr="00EC6886">
        <w:t>S</w:t>
      </w:r>
      <w:r w:rsidR="006C5B02">
        <w:t>2</w:t>
      </w:r>
      <w:r w:rsidRPr="00EC6886">
        <w:t xml:space="preserve"> </w:t>
      </w:r>
      <w:r w:rsidR="00B9770D">
        <w:t>will</w:t>
      </w:r>
      <w:r w:rsidR="00B9770D" w:rsidRPr="00EC6886">
        <w:t xml:space="preserve"> </w:t>
      </w:r>
      <w:r w:rsidRPr="00EC6886">
        <w:t>not get awarded</w:t>
      </w:r>
      <w:r w:rsidR="00E4425B">
        <w:t xml:space="preserve">, </w:t>
      </w:r>
      <w:r w:rsidR="007958D7">
        <w:t>its</w:t>
      </w:r>
      <w:r w:rsidR="00E4425B">
        <w:t xml:space="preserve"> offer or bid to operate and generate renewable energy is too expensive compared to S</w:t>
      </w:r>
      <w:r w:rsidR="00276D2A">
        <w:t>1</w:t>
      </w:r>
      <w:r w:rsidR="007958D7">
        <w:t>,</w:t>
      </w:r>
      <w:r w:rsidR="00E4425B">
        <w:t xml:space="preserve"> wh</w:t>
      </w:r>
      <w:r w:rsidR="009328AD">
        <w:t xml:space="preserve">ich </w:t>
      </w:r>
      <w:r w:rsidR="00EE69BD">
        <w:t>is willing</w:t>
      </w:r>
      <w:r w:rsidR="00E4425B">
        <w:t xml:space="preserve"> to pay to generate. </w:t>
      </w:r>
      <w:r w:rsidRPr="00EC6886">
        <w:t xml:space="preserve"> S</w:t>
      </w:r>
      <w:r w:rsidR="00276D2A">
        <w:t>2</w:t>
      </w:r>
      <w:r w:rsidRPr="00EC6886">
        <w:t xml:space="preserve"> is not</w:t>
      </w:r>
      <w:r w:rsidR="00E4425B">
        <w:t xml:space="preserve"> permitted to </w:t>
      </w:r>
      <w:r w:rsidR="00276D2A">
        <w:t>operate and</w:t>
      </w:r>
      <w:r w:rsidR="00E4425B">
        <w:t xml:space="preserve"> </w:t>
      </w:r>
      <w:r>
        <w:t xml:space="preserve">will have to shut down. </w:t>
      </w:r>
    </w:p>
    <w:p w14:paraId="6D626ECA" w14:textId="115DAEF7" w:rsidR="00EC6886" w:rsidRDefault="00E4425B" w:rsidP="00716577">
      <w:r>
        <w:t>T</w:t>
      </w:r>
      <w:r w:rsidR="00EC6886">
        <w:t xml:space="preserve">he question is </w:t>
      </w:r>
      <w:r>
        <w:t xml:space="preserve">whether </w:t>
      </w:r>
      <w:r w:rsidR="00EC6886">
        <w:t>S</w:t>
      </w:r>
      <w:r w:rsidR="006C5B02">
        <w:t>2</w:t>
      </w:r>
      <w:r w:rsidR="00EC6886">
        <w:t xml:space="preserve"> was </w:t>
      </w:r>
      <w:r w:rsidR="00B9770D">
        <w:t xml:space="preserve">forced to </w:t>
      </w:r>
      <w:r w:rsidR="00EC6886">
        <w:t>curtail</w:t>
      </w:r>
      <w:r w:rsidR="00B9770D">
        <w:t xml:space="preserve"> its output</w:t>
      </w:r>
      <w:r w:rsidR="00EC6886">
        <w:t xml:space="preserve"> or </w:t>
      </w:r>
      <w:r w:rsidR="00B9770D">
        <w:t xml:space="preserve">chose not to generate energy </w:t>
      </w:r>
      <w:r w:rsidR="00EE69BD">
        <w:t>because the</w:t>
      </w:r>
      <w:r w:rsidR="00B9770D">
        <w:t xml:space="preserve"> market clearing price was not high enough to satisfy its $</w:t>
      </w:r>
      <w:r w:rsidR="00EC6886">
        <w:t xml:space="preserve">20/MWh </w:t>
      </w:r>
      <w:r w:rsidR="00B9770D">
        <w:t>offer.  T</w:t>
      </w:r>
      <w:r w:rsidR="00EC6886">
        <w:t xml:space="preserve">he </w:t>
      </w:r>
      <w:r w:rsidR="00B9770D">
        <w:t>CA</w:t>
      </w:r>
      <w:r w:rsidR="00EC6886">
        <w:t xml:space="preserve">ISO </w:t>
      </w:r>
      <w:r w:rsidR="00B9770D">
        <w:t xml:space="preserve">will buy the least expensive energy, in this case </w:t>
      </w:r>
      <w:r w:rsidR="00A85FAF">
        <w:t>purchasing 50</w:t>
      </w:r>
      <w:r>
        <w:t xml:space="preserve"> MW</w:t>
      </w:r>
      <w:r w:rsidR="00B9770D">
        <w:t>h</w:t>
      </w:r>
      <w:r>
        <w:t xml:space="preserve"> from S</w:t>
      </w:r>
      <w:r w:rsidR="006C5B02">
        <w:t>1</w:t>
      </w:r>
      <w:r>
        <w:t xml:space="preserve"> not only for free but S</w:t>
      </w:r>
      <w:r w:rsidR="006C5B02">
        <w:t>1</w:t>
      </w:r>
      <w:r>
        <w:t xml:space="preserve"> will have to pay 50MW</w:t>
      </w:r>
      <w:r w:rsidR="00B9770D">
        <w:t>h</w:t>
      </w:r>
      <w:r>
        <w:t xml:space="preserve"> x </w:t>
      </w:r>
      <w:r w:rsidR="00B9770D">
        <w:t>$</w:t>
      </w:r>
      <w:r w:rsidR="00CD6F4F">
        <w:t xml:space="preserve">26/MWh =$1,300 to generate. </w:t>
      </w:r>
      <w:r w:rsidR="006C5B02">
        <w:t>This is a well-functioning market</w:t>
      </w:r>
      <w:r w:rsidR="00276D2A">
        <w:t xml:space="preserve"> with an outcome based on the supplier’s own bid for the CAISO market. </w:t>
      </w:r>
    </w:p>
    <w:p w14:paraId="5A97CFA0" w14:textId="31C3FDDB" w:rsidR="00EC6886" w:rsidRDefault="00EC6886" w:rsidP="00716577">
      <w:pPr>
        <w:rPr>
          <w:b/>
          <w:bCs/>
        </w:rPr>
      </w:pPr>
      <w:r>
        <w:rPr>
          <w:b/>
          <w:bCs/>
        </w:rPr>
        <w:t xml:space="preserve">What is the volume of </w:t>
      </w:r>
      <w:r w:rsidR="0000540F">
        <w:rPr>
          <w:b/>
          <w:bCs/>
        </w:rPr>
        <w:t>energy suppliers</w:t>
      </w:r>
      <w:r>
        <w:rPr>
          <w:b/>
          <w:bCs/>
        </w:rPr>
        <w:t xml:space="preserve"> </w:t>
      </w:r>
      <w:r w:rsidR="00B72117">
        <w:rPr>
          <w:b/>
          <w:bCs/>
        </w:rPr>
        <w:t xml:space="preserve">are </w:t>
      </w:r>
      <w:r w:rsidR="002F1684">
        <w:rPr>
          <w:b/>
          <w:bCs/>
        </w:rPr>
        <w:t xml:space="preserve">paying to generate </w:t>
      </w:r>
      <w:r>
        <w:rPr>
          <w:b/>
          <w:bCs/>
        </w:rPr>
        <w:t xml:space="preserve">as </w:t>
      </w:r>
      <w:r w:rsidR="001B2314">
        <w:rPr>
          <w:b/>
          <w:bCs/>
        </w:rPr>
        <w:t xml:space="preserve">with </w:t>
      </w:r>
      <w:r>
        <w:rPr>
          <w:b/>
          <w:bCs/>
        </w:rPr>
        <w:t>S</w:t>
      </w:r>
      <w:r w:rsidR="006C5B02">
        <w:rPr>
          <w:b/>
          <w:bCs/>
        </w:rPr>
        <w:t>1</w:t>
      </w:r>
      <w:r>
        <w:rPr>
          <w:b/>
          <w:bCs/>
        </w:rPr>
        <w:t xml:space="preserve">? </w:t>
      </w:r>
    </w:p>
    <w:tbl>
      <w:tblPr>
        <w:tblStyle w:val="ListTable4-Accent1"/>
        <w:tblW w:w="0" w:type="auto"/>
        <w:tblLook w:val="04A0" w:firstRow="1" w:lastRow="0" w:firstColumn="1" w:lastColumn="0" w:noHBand="0" w:noVBand="1"/>
      </w:tblPr>
      <w:tblGrid>
        <w:gridCol w:w="1389"/>
        <w:gridCol w:w="2021"/>
        <w:gridCol w:w="2068"/>
        <w:gridCol w:w="2046"/>
        <w:gridCol w:w="1826"/>
      </w:tblGrid>
      <w:tr w:rsidR="00276D2A" w:rsidRPr="00F8434F" w14:paraId="5D1443CD" w14:textId="77777777" w:rsidTr="00C55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FA4A3F7" w14:textId="77777777" w:rsidR="00276D2A" w:rsidRPr="000E16C9" w:rsidRDefault="00276D2A" w:rsidP="00C55059">
            <w:pPr>
              <w:jc w:val="center"/>
              <w:rPr>
                <w:sz w:val="22"/>
                <w:szCs w:val="22"/>
              </w:rPr>
            </w:pPr>
            <w:r w:rsidRPr="00F8434F">
              <w:rPr>
                <w:sz w:val="22"/>
                <w:szCs w:val="22"/>
              </w:rPr>
              <w:t>Year</w:t>
            </w:r>
          </w:p>
        </w:tc>
        <w:tc>
          <w:tcPr>
            <w:tcW w:w="2070" w:type="dxa"/>
            <w:vAlign w:val="center"/>
          </w:tcPr>
          <w:p w14:paraId="6A333FCD" w14:textId="7F1AF4A3" w:rsidR="00276D2A" w:rsidRPr="000E16C9" w:rsidRDefault="00B77514" w:rsidP="00C5505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Day Ahead </w:t>
            </w:r>
            <w:r w:rsidR="00276D2A" w:rsidRPr="000E16C9">
              <w:rPr>
                <w:sz w:val="22"/>
                <w:szCs w:val="22"/>
              </w:rPr>
              <w:t>Supplier MWh</w:t>
            </w:r>
          </w:p>
        </w:tc>
        <w:tc>
          <w:tcPr>
            <w:tcW w:w="2105" w:type="dxa"/>
            <w:vAlign w:val="center"/>
          </w:tcPr>
          <w:p w14:paraId="4B238C17" w14:textId="77777777" w:rsidR="00276D2A" w:rsidRPr="000E16C9" w:rsidRDefault="00276D2A" w:rsidP="00C55059">
            <w:pPr>
              <w:jc w:val="center"/>
              <w:cnfStyle w:val="100000000000" w:firstRow="1" w:lastRow="0" w:firstColumn="0" w:lastColumn="0" w:oddVBand="0" w:evenVBand="0" w:oddHBand="0" w:evenHBand="0" w:firstRowFirstColumn="0" w:firstRowLastColumn="0" w:lastRowFirstColumn="0" w:lastRowLastColumn="0"/>
              <w:rPr>
                <w:sz w:val="22"/>
                <w:szCs w:val="22"/>
              </w:rPr>
            </w:pPr>
            <w:r w:rsidRPr="000E16C9">
              <w:rPr>
                <w:sz w:val="22"/>
                <w:szCs w:val="22"/>
              </w:rPr>
              <w:t xml:space="preserve">Suppliers’ </w:t>
            </w:r>
            <w:r w:rsidRPr="00F8434F">
              <w:rPr>
                <w:sz w:val="22"/>
                <w:szCs w:val="22"/>
              </w:rPr>
              <w:t>P</w:t>
            </w:r>
            <w:r w:rsidRPr="000E16C9">
              <w:rPr>
                <w:sz w:val="22"/>
                <w:szCs w:val="22"/>
              </w:rPr>
              <w:t xml:space="preserve">ayment to </w:t>
            </w:r>
            <w:r>
              <w:rPr>
                <w:sz w:val="22"/>
                <w:szCs w:val="22"/>
              </w:rPr>
              <w:t>CAISO</w:t>
            </w:r>
          </w:p>
        </w:tc>
        <w:tc>
          <w:tcPr>
            <w:tcW w:w="1870" w:type="dxa"/>
            <w:vAlign w:val="center"/>
          </w:tcPr>
          <w:p w14:paraId="2DC2286C" w14:textId="459297C9" w:rsidR="00276D2A" w:rsidRPr="000E16C9" w:rsidRDefault="00276D2A" w:rsidP="00C55059">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Hours Per Year Priced Between $0 to</w:t>
            </w:r>
            <w:r w:rsidR="00B9770D">
              <w:rPr>
                <w:sz w:val="22"/>
                <w:szCs w:val="22"/>
              </w:rPr>
              <w:t xml:space="preserve"> Negative</w:t>
            </w:r>
            <w:r>
              <w:rPr>
                <w:sz w:val="22"/>
                <w:szCs w:val="22"/>
              </w:rPr>
              <w:t>$26/MWh</w:t>
            </w:r>
          </w:p>
        </w:tc>
        <w:tc>
          <w:tcPr>
            <w:tcW w:w="1870" w:type="dxa"/>
            <w:vAlign w:val="center"/>
          </w:tcPr>
          <w:p w14:paraId="0C957774" w14:textId="23D5D92E" w:rsidR="00276D2A" w:rsidRPr="000E16C9" w:rsidRDefault="00276D2A" w:rsidP="00C55059">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 xml:space="preserve">Hours Per Year Priced Less </w:t>
            </w:r>
            <w:r w:rsidR="00B9770D">
              <w:rPr>
                <w:sz w:val="22"/>
                <w:szCs w:val="22"/>
              </w:rPr>
              <w:t xml:space="preserve">Than Negative </w:t>
            </w:r>
            <w:r>
              <w:rPr>
                <w:sz w:val="22"/>
                <w:szCs w:val="22"/>
              </w:rPr>
              <w:t>$26/MWh</w:t>
            </w:r>
          </w:p>
        </w:tc>
      </w:tr>
      <w:tr w:rsidR="00276D2A" w:rsidRPr="00E96714" w14:paraId="4C67F78F" w14:textId="77777777" w:rsidTr="00C55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D7A052F" w14:textId="77777777" w:rsidR="00276D2A" w:rsidRPr="000E16C9" w:rsidRDefault="00276D2A" w:rsidP="00C55059">
            <w:pPr>
              <w:jc w:val="center"/>
              <w:rPr>
                <w:b w:val="0"/>
                <w:bCs w:val="0"/>
                <w:sz w:val="22"/>
                <w:szCs w:val="22"/>
              </w:rPr>
            </w:pPr>
            <w:r w:rsidRPr="000E16C9">
              <w:rPr>
                <w:b w:val="0"/>
                <w:bCs w:val="0"/>
                <w:sz w:val="22"/>
                <w:szCs w:val="22"/>
              </w:rPr>
              <w:t>2023</w:t>
            </w:r>
          </w:p>
        </w:tc>
        <w:tc>
          <w:tcPr>
            <w:tcW w:w="2070" w:type="dxa"/>
          </w:tcPr>
          <w:p w14:paraId="7D25C39F"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3,700,265</w:t>
            </w:r>
          </w:p>
        </w:tc>
        <w:tc>
          <w:tcPr>
            <w:tcW w:w="2105" w:type="dxa"/>
          </w:tcPr>
          <w:p w14:paraId="2CCEAC2A"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$23,277,923</w:t>
            </w:r>
          </w:p>
        </w:tc>
        <w:tc>
          <w:tcPr>
            <w:tcW w:w="1870" w:type="dxa"/>
          </w:tcPr>
          <w:p w14:paraId="0FAF9569"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188</w:t>
            </w:r>
          </w:p>
        </w:tc>
        <w:tc>
          <w:tcPr>
            <w:tcW w:w="1870" w:type="dxa"/>
          </w:tcPr>
          <w:p w14:paraId="5E03A1ED"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0</w:t>
            </w:r>
          </w:p>
        </w:tc>
      </w:tr>
      <w:tr w:rsidR="00276D2A" w:rsidRPr="00E96714" w14:paraId="2B8124B0" w14:textId="77777777" w:rsidTr="00C55059">
        <w:tc>
          <w:tcPr>
            <w:cnfStyle w:val="001000000000" w:firstRow="0" w:lastRow="0" w:firstColumn="1" w:lastColumn="0" w:oddVBand="0" w:evenVBand="0" w:oddHBand="0" w:evenHBand="0" w:firstRowFirstColumn="0" w:firstRowLastColumn="0" w:lastRowFirstColumn="0" w:lastRowLastColumn="0"/>
            <w:tcW w:w="1435" w:type="dxa"/>
          </w:tcPr>
          <w:p w14:paraId="4B910975" w14:textId="77777777" w:rsidR="00276D2A" w:rsidRPr="000E16C9" w:rsidRDefault="00276D2A" w:rsidP="00C55059">
            <w:pPr>
              <w:jc w:val="center"/>
              <w:rPr>
                <w:b w:val="0"/>
                <w:bCs w:val="0"/>
                <w:sz w:val="22"/>
                <w:szCs w:val="22"/>
              </w:rPr>
            </w:pPr>
            <w:r w:rsidRPr="000E16C9">
              <w:rPr>
                <w:b w:val="0"/>
                <w:bCs w:val="0"/>
                <w:sz w:val="22"/>
                <w:szCs w:val="22"/>
              </w:rPr>
              <w:t>2024</w:t>
            </w:r>
          </w:p>
        </w:tc>
        <w:tc>
          <w:tcPr>
            <w:tcW w:w="2070" w:type="dxa"/>
          </w:tcPr>
          <w:p w14:paraId="1624A58C"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13,347,076</w:t>
            </w:r>
          </w:p>
        </w:tc>
        <w:tc>
          <w:tcPr>
            <w:tcW w:w="2105" w:type="dxa"/>
          </w:tcPr>
          <w:p w14:paraId="16EFAFBF"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$159,883,667</w:t>
            </w:r>
          </w:p>
        </w:tc>
        <w:tc>
          <w:tcPr>
            <w:tcW w:w="1870" w:type="dxa"/>
          </w:tcPr>
          <w:p w14:paraId="0435FB98"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575</w:t>
            </w:r>
          </w:p>
        </w:tc>
        <w:tc>
          <w:tcPr>
            <w:tcW w:w="1870" w:type="dxa"/>
          </w:tcPr>
          <w:p w14:paraId="2601BB74"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62</w:t>
            </w:r>
          </w:p>
        </w:tc>
      </w:tr>
      <w:tr w:rsidR="00276D2A" w:rsidRPr="00E96714" w14:paraId="53F41DC8" w14:textId="77777777" w:rsidTr="00C55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4693BB9" w14:textId="7BDAF947" w:rsidR="00276D2A" w:rsidRPr="000E16C9" w:rsidRDefault="00276D2A" w:rsidP="00C55059">
            <w:pPr>
              <w:jc w:val="center"/>
              <w:rPr>
                <w:b w:val="0"/>
                <w:bCs w:val="0"/>
                <w:sz w:val="22"/>
                <w:szCs w:val="22"/>
              </w:rPr>
            </w:pPr>
            <w:r w:rsidRPr="000E16C9">
              <w:rPr>
                <w:b w:val="0"/>
                <w:bCs w:val="0"/>
                <w:sz w:val="22"/>
                <w:szCs w:val="22"/>
              </w:rPr>
              <w:t>Q</w:t>
            </w:r>
            <w:r w:rsidR="0000540F">
              <w:rPr>
                <w:b w:val="0"/>
                <w:bCs w:val="0"/>
                <w:sz w:val="22"/>
                <w:szCs w:val="22"/>
              </w:rPr>
              <w:t xml:space="preserve">TR </w:t>
            </w:r>
            <w:r w:rsidRPr="000E16C9">
              <w:rPr>
                <w:b w:val="0"/>
                <w:bCs w:val="0"/>
                <w:sz w:val="22"/>
                <w:szCs w:val="22"/>
              </w:rPr>
              <w:t>1</w:t>
            </w:r>
            <w:r>
              <w:rPr>
                <w:sz w:val="22"/>
                <w:szCs w:val="22"/>
              </w:rPr>
              <w:t xml:space="preserve"> </w:t>
            </w:r>
            <w:r w:rsidRPr="000E16C9">
              <w:rPr>
                <w:b w:val="0"/>
                <w:bCs w:val="0"/>
                <w:sz w:val="22"/>
                <w:szCs w:val="22"/>
              </w:rPr>
              <w:t>2025</w:t>
            </w:r>
          </w:p>
        </w:tc>
        <w:tc>
          <w:tcPr>
            <w:tcW w:w="2070" w:type="dxa"/>
          </w:tcPr>
          <w:p w14:paraId="2424DC22"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3,799,606</w:t>
            </w:r>
          </w:p>
        </w:tc>
        <w:tc>
          <w:tcPr>
            <w:tcW w:w="2105" w:type="dxa"/>
          </w:tcPr>
          <w:p w14:paraId="351DD979"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$42,651,353</w:t>
            </w:r>
          </w:p>
        </w:tc>
        <w:tc>
          <w:tcPr>
            <w:tcW w:w="1870" w:type="dxa"/>
          </w:tcPr>
          <w:p w14:paraId="552CB79F"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161</w:t>
            </w:r>
          </w:p>
        </w:tc>
        <w:tc>
          <w:tcPr>
            <w:tcW w:w="1870" w:type="dxa"/>
          </w:tcPr>
          <w:p w14:paraId="2F8D1F3C" w14:textId="77777777" w:rsidR="00276D2A" w:rsidRPr="000E16C9" w:rsidRDefault="00276D2A" w:rsidP="00C5505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22</w:t>
            </w:r>
          </w:p>
        </w:tc>
      </w:tr>
      <w:tr w:rsidR="00276D2A" w:rsidRPr="00F8434F" w14:paraId="206498A7" w14:textId="77777777" w:rsidTr="00C55059">
        <w:tc>
          <w:tcPr>
            <w:cnfStyle w:val="001000000000" w:firstRow="0" w:lastRow="0" w:firstColumn="1" w:lastColumn="0" w:oddVBand="0" w:evenVBand="0" w:oddHBand="0" w:evenHBand="0" w:firstRowFirstColumn="0" w:firstRowLastColumn="0" w:lastRowFirstColumn="0" w:lastRowLastColumn="0"/>
            <w:tcW w:w="1435" w:type="dxa"/>
          </w:tcPr>
          <w:p w14:paraId="57276B74" w14:textId="77777777" w:rsidR="00276D2A" w:rsidRPr="000E16C9" w:rsidRDefault="00276D2A" w:rsidP="00C55059">
            <w:pPr>
              <w:jc w:val="center"/>
              <w:rPr>
                <w:sz w:val="22"/>
                <w:szCs w:val="22"/>
              </w:rPr>
            </w:pPr>
            <w:r w:rsidRPr="000E16C9">
              <w:rPr>
                <w:sz w:val="22"/>
                <w:szCs w:val="22"/>
              </w:rPr>
              <w:t>Total</w:t>
            </w:r>
          </w:p>
        </w:tc>
        <w:tc>
          <w:tcPr>
            <w:tcW w:w="2070" w:type="dxa"/>
          </w:tcPr>
          <w:p w14:paraId="1E522D44"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21,560,547</w:t>
            </w:r>
          </w:p>
        </w:tc>
        <w:tc>
          <w:tcPr>
            <w:tcW w:w="2105" w:type="dxa"/>
          </w:tcPr>
          <w:p w14:paraId="519F414D"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$226,606,744</w:t>
            </w:r>
          </w:p>
        </w:tc>
        <w:tc>
          <w:tcPr>
            <w:tcW w:w="1870" w:type="dxa"/>
          </w:tcPr>
          <w:p w14:paraId="6598F845"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963</w:t>
            </w:r>
          </w:p>
        </w:tc>
        <w:tc>
          <w:tcPr>
            <w:tcW w:w="1870" w:type="dxa"/>
          </w:tcPr>
          <w:p w14:paraId="38794BFA" w14:textId="77777777" w:rsidR="00276D2A" w:rsidRPr="000E16C9" w:rsidRDefault="00276D2A" w:rsidP="00C5505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84</w:t>
            </w:r>
          </w:p>
        </w:tc>
      </w:tr>
    </w:tbl>
    <w:p w14:paraId="53AC0BB9" w14:textId="77777777" w:rsidR="002F1684" w:rsidRDefault="002F1684" w:rsidP="00716577">
      <w:pPr>
        <w:rPr>
          <w:b/>
          <w:bCs/>
        </w:rPr>
      </w:pPr>
    </w:p>
    <w:p w14:paraId="49BE46E2" w14:textId="70464656" w:rsidR="00276D2A" w:rsidRPr="00276D2A" w:rsidRDefault="00276D2A" w:rsidP="00716577">
      <w:r w:rsidRPr="00276D2A">
        <w:t xml:space="preserve">In 2024, </w:t>
      </w:r>
      <w:r w:rsidR="00551B7F">
        <w:t>s</w:t>
      </w:r>
      <w:r w:rsidRPr="00276D2A">
        <w:t>uppliers paid</w:t>
      </w:r>
      <w:r w:rsidR="00B77514">
        <w:t xml:space="preserve"> the CAISO </w:t>
      </w:r>
      <w:r w:rsidR="00B77514" w:rsidRPr="00276D2A">
        <w:t>$</w:t>
      </w:r>
      <w:r>
        <w:t>1</w:t>
      </w:r>
      <w:r w:rsidR="00B9770D">
        <w:t>6</w:t>
      </w:r>
      <w:r w:rsidRPr="00276D2A">
        <w:t xml:space="preserve">0 million to supply </w:t>
      </w:r>
      <w:r w:rsidR="00B77514">
        <w:t xml:space="preserve">13.3 TWh of energy. </w:t>
      </w:r>
    </w:p>
    <w:p w14:paraId="6A7B4066" w14:textId="5F3767D7" w:rsidR="002F1684" w:rsidRDefault="002F1684" w:rsidP="00716577">
      <w:pPr>
        <w:rPr>
          <w:b/>
          <w:bCs/>
        </w:rPr>
      </w:pPr>
      <w:r w:rsidRPr="002F1684">
        <w:rPr>
          <w:b/>
          <w:bCs/>
        </w:rPr>
        <w:t xml:space="preserve">What is the volume of </w:t>
      </w:r>
      <w:r w:rsidR="00B72117">
        <w:rPr>
          <w:b/>
          <w:bCs/>
        </w:rPr>
        <w:t xml:space="preserve">energy </w:t>
      </w:r>
      <w:r w:rsidR="00905AC5" w:rsidRPr="002F1684">
        <w:rPr>
          <w:b/>
          <w:bCs/>
        </w:rPr>
        <w:t>suppliers</w:t>
      </w:r>
      <w:r w:rsidR="00905AC5">
        <w:rPr>
          <w:b/>
          <w:bCs/>
        </w:rPr>
        <w:t>’ bids</w:t>
      </w:r>
      <w:r w:rsidR="001C6AE8">
        <w:rPr>
          <w:b/>
          <w:bCs/>
        </w:rPr>
        <w:t xml:space="preserve"> </w:t>
      </w:r>
      <w:r w:rsidR="00297ECA">
        <w:rPr>
          <w:b/>
          <w:bCs/>
        </w:rPr>
        <w:t xml:space="preserve">that </w:t>
      </w:r>
      <w:r w:rsidR="00EE69BD">
        <w:rPr>
          <w:b/>
          <w:bCs/>
        </w:rPr>
        <w:t>are</w:t>
      </w:r>
      <w:r>
        <w:rPr>
          <w:b/>
          <w:bCs/>
        </w:rPr>
        <w:t xml:space="preserve"> not </w:t>
      </w:r>
      <w:r w:rsidR="001B2314">
        <w:rPr>
          <w:b/>
          <w:bCs/>
        </w:rPr>
        <w:t>“</w:t>
      </w:r>
      <w:r>
        <w:rPr>
          <w:b/>
          <w:bCs/>
        </w:rPr>
        <w:t>in the money</w:t>
      </w:r>
      <w:r w:rsidR="001B2314">
        <w:rPr>
          <w:b/>
          <w:bCs/>
        </w:rPr>
        <w:t>”</w:t>
      </w:r>
      <w:r>
        <w:rPr>
          <w:b/>
          <w:bCs/>
        </w:rPr>
        <w:t xml:space="preserve"> </w:t>
      </w:r>
      <w:r w:rsidR="001C6AE8">
        <w:rPr>
          <w:b/>
          <w:bCs/>
        </w:rPr>
        <w:t xml:space="preserve">and are </w:t>
      </w:r>
      <w:r w:rsidRPr="002F1684">
        <w:rPr>
          <w:b/>
          <w:bCs/>
        </w:rPr>
        <w:t xml:space="preserve">paying to generate as </w:t>
      </w:r>
      <w:r w:rsidR="001B2314">
        <w:rPr>
          <w:b/>
          <w:bCs/>
        </w:rPr>
        <w:t xml:space="preserve">with </w:t>
      </w:r>
      <w:r w:rsidRPr="002F1684">
        <w:rPr>
          <w:b/>
          <w:bCs/>
        </w:rPr>
        <w:t>S</w:t>
      </w:r>
      <w:r w:rsidR="006C5B02">
        <w:rPr>
          <w:b/>
          <w:bCs/>
        </w:rPr>
        <w:t>2</w:t>
      </w:r>
      <w:r w:rsidRPr="002F1684">
        <w:rPr>
          <w:b/>
          <w:bCs/>
        </w:rPr>
        <w:t>?</w:t>
      </w:r>
    </w:p>
    <w:p w14:paraId="57AA8161" w14:textId="722220DB" w:rsidR="002F1684" w:rsidRPr="006C5B02" w:rsidRDefault="00B77514" w:rsidP="002F1684">
      <w:pPr>
        <w:pStyle w:val="ListParagraph"/>
        <w:numPr>
          <w:ilvl w:val="0"/>
          <w:numId w:val="2"/>
        </w:numPr>
      </w:pPr>
      <w:r>
        <w:t>S2</w:t>
      </w:r>
      <w:r w:rsidR="00905AC5">
        <w:t>’s</w:t>
      </w:r>
      <w:r>
        <w:t xml:space="preserve"> </w:t>
      </w:r>
      <w:r w:rsidR="002F1684" w:rsidRPr="006C5B02">
        <w:t xml:space="preserve">renewable generation bid was higher than the energy </w:t>
      </w:r>
      <w:r>
        <w:t>c</w:t>
      </w:r>
      <w:r w:rsidR="002F1684" w:rsidRPr="006C5B02">
        <w:t xml:space="preserve">learing price </w:t>
      </w:r>
      <w:r>
        <w:t xml:space="preserve">of </w:t>
      </w:r>
      <w:r w:rsidR="00CF67F4">
        <w:t xml:space="preserve">negative </w:t>
      </w:r>
      <w:r w:rsidR="00905AC5">
        <w:t>$</w:t>
      </w:r>
      <w:r>
        <w:t xml:space="preserve">26/MWh </w:t>
      </w:r>
      <w:r w:rsidR="002F1684" w:rsidRPr="006C5B02">
        <w:t xml:space="preserve">and </w:t>
      </w:r>
      <w:r w:rsidR="00A85FAF">
        <w:t>was</w:t>
      </w:r>
      <w:r w:rsidR="00A85FAF" w:rsidRPr="006C5B02">
        <w:t xml:space="preserve"> </w:t>
      </w:r>
      <w:r w:rsidR="002F1684" w:rsidRPr="006C5B02">
        <w:t>not able to generate</w:t>
      </w:r>
      <w:r w:rsidR="00A975D5">
        <w:t xml:space="preserve">. </w:t>
      </w:r>
      <w:r w:rsidR="002F1684" w:rsidRPr="006C5B02">
        <w:t xml:space="preserve"> </w:t>
      </w:r>
      <w:r w:rsidR="00A975D5">
        <w:t>W</w:t>
      </w:r>
      <w:r w:rsidR="002F1684" w:rsidRPr="006C5B02">
        <w:t xml:space="preserve">e </w:t>
      </w:r>
      <w:r w:rsidR="0000540F" w:rsidRPr="006C5B02">
        <w:t>label</w:t>
      </w:r>
      <w:r w:rsidR="002F1684" w:rsidRPr="006C5B02">
        <w:t xml:space="preserve"> the</w:t>
      </w:r>
      <w:r w:rsidR="00A85FAF">
        <w:t>se intentional economic out-of-the-money bids</w:t>
      </w:r>
      <w:r w:rsidR="002F1684" w:rsidRPr="006C5B02">
        <w:t xml:space="preserve"> as curtailments. </w:t>
      </w:r>
    </w:p>
    <w:p w14:paraId="13D3CCA7" w14:textId="5604F054" w:rsidR="00EC6886" w:rsidRPr="006C5B02" w:rsidRDefault="002F1684" w:rsidP="002F1684">
      <w:pPr>
        <w:pStyle w:val="ListParagraph"/>
        <w:numPr>
          <w:ilvl w:val="0"/>
          <w:numId w:val="2"/>
        </w:numPr>
      </w:pPr>
      <w:r w:rsidRPr="006C5B02">
        <w:t xml:space="preserve">In 2024, </w:t>
      </w:r>
      <w:r w:rsidR="00B77514">
        <w:t xml:space="preserve">generation curtailments were </w:t>
      </w:r>
      <w:r w:rsidRPr="006C5B02">
        <w:t>3,423,377 MWh, which was a</w:t>
      </w:r>
      <w:r w:rsidR="00A85FAF">
        <w:t xml:space="preserve"> 29% </w:t>
      </w:r>
      <w:r w:rsidRPr="006C5B02">
        <w:t>increase from 2,659,526 MWh o</w:t>
      </w:r>
      <w:r w:rsidR="00905AC5">
        <w:t>f</w:t>
      </w:r>
      <w:r w:rsidRPr="006C5B02">
        <w:t xml:space="preserve"> renewable generation curtailed in 2023.</w:t>
      </w:r>
      <w:r w:rsidR="00432BEB">
        <w:t xml:space="preserve"> </w:t>
      </w:r>
    </w:p>
    <w:p w14:paraId="65F5B1DF" w14:textId="5A000DCA" w:rsidR="00A85FAF" w:rsidRDefault="00432BEB" w:rsidP="00CD7658">
      <w:pPr>
        <w:pStyle w:val="ListParagraph"/>
        <w:numPr>
          <w:ilvl w:val="2"/>
          <w:numId w:val="2"/>
        </w:numPr>
        <w:ind w:left="1440"/>
      </w:pPr>
      <w:r>
        <w:t xml:space="preserve">In 2024, </w:t>
      </w:r>
      <w:r w:rsidRPr="00432BEB">
        <w:t xml:space="preserve">the </w:t>
      </w:r>
      <w:r>
        <w:t>3.4</w:t>
      </w:r>
      <w:r w:rsidRPr="00432BEB">
        <w:t xml:space="preserve"> TWh </w:t>
      </w:r>
      <w:r w:rsidR="00B77514">
        <w:t xml:space="preserve">generation </w:t>
      </w:r>
      <w:r w:rsidR="00B77514" w:rsidRPr="00432BEB">
        <w:t>curtailments,</w:t>
      </w:r>
      <w:r w:rsidR="00B77514">
        <w:t xml:space="preserve"> although voluntar</w:t>
      </w:r>
      <w:r w:rsidR="00A975D5">
        <w:t>y,</w:t>
      </w:r>
      <w:r w:rsidR="00B77514">
        <w:t xml:space="preserve"> </w:t>
      </w:r>
      <w:r w:rsidRPr="00432BEB">
        <w:t>represent 1.</w:t>
      </w:r>
      <w:r>
        <w:t>4</w:t>
      </w:r>
      <w:r w:rsidRPr="00432BEB">
        <w:t xml:space="preserve"> % of </w:t>
      </w:r>
      <w:r w:rsidR="00A85FAF">
        <w:t xml:space="preserve">the </w:t>
      </w:r>
      <w:r w:rsidRPr="00432BEB">
        <w:t>CAISO</w:t>
      </w:r>
      <w:r w:rsidR="00A85FAF">
        <w:t>’s annual</w:t>
      </w:r>
      <w:r w:rsidR="00A85FAF" w:rsidRPr="00432BEB">
        <w:t xml:space="preserve"> load</w:t>
      </w:r>
      <w:r w:rsidR="00487DC8">
        <w:t>.</w:t>
      </w:r>
    </w:p>
    <w:p w14:paraId="327BEFC4" w14:textId="20DA1552" w:rsidR="00B77514" w:rsidRDefault="00A85FAF" w:rsidP="00CD7658">
      <w:pPr>
        <w:pStyle w:val="ListParagraph"/>
        <w:numPr>
          <w:ilvl w:val="2"/>
          <w:numId w:val="2"/>
        </w:numPr>
        <w:ind w:left="1440"/>
      </w:pPr>
      <w:r>
        <w:t>The</w:t>
      </w:r>
      <w:r w:rsidR="00432BEB">
        <w:t xml:space="preserve"> potential </w:t>
      </w:r>
      <w:r>
        <w:t xml:space="preserve">CAISO market </w:t>
      </w:r>
      <w:r w:rsidR="00B77514">
        <w:t xml:space="preserve">revenue </w:t>
      </w:r>
      <w:r w:rsidR="00432BEB">
        <w:t xml:space="preserve">of suppliers </w:t>
      </w:r>
      <w:r w:rsidR="00A975D5">
        <w:t xml:space="preserve">such </w:t>
      </w:r>
      <w:r w:rsidR="0000540F">
        <w:t>as S</w:t>
      </w:r>
      <w:r w:rsidR="00432BEB">
        <w:t xml:space="preserve">2 at </w:t>
      </w:r>
      <w:r>
        <w:t>$</w:t>
      </w:r>
      <w:r w:rsidR="00432BEB">
        <w:t xml:space="preserve">15/MWh </w:t>
      </w:r>
      <w:r>
        <w:t xml:space="preserve">(the </w:t>
      </w:r>
      <w:r w:rsidR="00432BEB">
        <w:t xml:space="preserve">average energy price during solar hours </w:t>
      </w:r>
      <w:r w:rsidR="0085387A">
        <w:t xml:space="preserve">which I used </w:t>
      </w:r>
      <w:r w:rsidR="00432BEB">
        <w:t>as a proxy</w:t>
      </w:r>
      <w:r w:rsidR="0085387A">
        <w:t xml:space="preserve"> for market value)</w:t>
      </w:r>
      <w:r w:rsidR="00432BEB">
        <w:t xml:space="preserve"> results in </w:t>
      </w:r>
      <w:r w:rsidR="00551B7F">
        <w:t>approximately</w:t>
      </w:r>
      <w:r w:rsidR="00432BEB">
        <w:t xml:space="preserve"> </w:t>
      </w:r>
      <w:r w:rsidR="00B77514">
        <w:t>$</w:t>
      </w:r>
      <w:r w:rsidR="00432BEB">
        <w:t>50</w:t>
      </w:r>
      <w:r w:rsidR="0085387A">
        <w:t xml:space="preserve"> million</w:t>
      </w:r>
      <w:r w:rsidR="00432BEB">
        <w:t xml:space="preserve">, which is </w:t>
      </w:r>
      <w:r w:rsidR="00B77514">
        <w:t>0.35% of the wholesale energy cost. The $50</w:t>
      </w:r>
      <w:r w:rsidR="00B759A6">
        <w:t xml:space="preserve"> </w:t>
      </w:r>
      <w:r w:rsidR="00B77514">
        <w:t>m</w:t>
      </w:r>
      <w:r w:rsidR="0085387A">
        <w:t>illion</w:t>
      </w:r>
      <w:r w:rsidR="00B77514">
        <w:t xml:space="preserve"> number </w:t>
      </w:r>
      <w:r w:rsidR="0085387A">
        <w:t xml:space="preserve">is conservative and </w:t>
      </w:r>
      <w:r w:rsidR="00B77514">
        <w:t xml:space="preserve">may be a lot lower. </w:t>
      </w:r>
    </w:p>
    <w:p w14:paraId="1AF7E0E4" w14:textId="18C28859" w:rsidR="00B641A6" w:rsidRPr="006C5B02" w:rsidRDefault="00A975D5" w:rsidP="00B77514">
      <w:r>
        <w:t>What’s the</w:t>
      </w:r>
      <w:r w:rsidR="00FE3A4A">
        <w:t xml:space="preserve"> </w:t>
      </w:r>
      <w:r w:rsidR="006C5B02">
        <w:t>big picture</w:t>
      </w:r>
      <w:r>
        <w:t>?</w:t>
      </w:r>
      <w:r w:rsidR="006C5B02">
        <w:t xml:space="preserve"> </w:t>
      </w:r>
      <w:r>
        <w:t>I</w:t>
      </w:r>
      <w:r w:rsidR="006C5B02">
        <w:t>n my mind</w:t>
      </w:r>
      <w:r>
        <w:t>,</w:t>
      </w:r>
      <w:r w:rsidR="006C5B02">
        <w:t xml:space="preserve"> these numbers are </w:t>
      </w:r>
      <w:r w:rsidR="00C27601">
        <w:t>small</w:t>
      </w:r>
      <w:r w:rsidR="006C5B02">
        <w:t xml:space="preserve"> </w:t>
      </w:r>
      <w:r w:rsidR="00C27601">
        <w:t>compared</w:t>
      </w:r>
      <w:r w:rsidR="006C5B02">
        <w:t xml:space="preserve"> to the benefits of renewables. </w:t>
      </w:r>
      <w:r w:rsidR="006C5B02" w:rsidRPr="006C5B02">
        <w:t xml:space="preserve"> </w:t>
      </w:r>
    </w:p>
    <w:p w14:paraId="690350A7" w14:textId="6E555481" w:rsidR="00EC6886" w:rsidRPr="00EC6886" w:rsidRDefault="00EC6886" w:rsidP="00716577">
      <w:pPr>
        <w:rPr>
          <w:b/>
          <w:bCs/>
        </w:rPr>
      </w:pPr>
      <w:r w:rsidRPr="00EC6886">
        <w:rPr>
          <w:b/>
          <w:bCs/>
        </w:rPr>
        <w:t xml:space="preserve">Who Benefits? </w:t>
      </w:r>
    </w:p>
    <w:p w14:paraId="08E13CD8" w14:textId="4E01B260" w:rsidR="00C27601" w:rsidRDefault="00EC6886" w:rsidP="00716577">
      <w:r>
        <w:t xml:space="preserve">S1 </w:t>
      </w:r>
      <w:r w:rsidR="00C27601">
        <w:t>produces</w:t>
      </w:r>
      <w:r>
        <w:t xml:space="preserve"> energy</w:t>
      </w:r>
      <w:r w:rsidR="00C27601">
        <w:t xml:space="preserve"> but must pay to produce.  </w:t>
      </w:r>
      <w:r w:rsidR="00C27601" w:rsidRPr="00C27601">
        <w:t>Load Servi</w:t>
      </w:r>
      <w:r w:rsidR="00A975D5">
        <w:t>n</w:t>
      </w:r>
      <w:r w:rsidR="00C27601" w:rsidRPr="00C27601">
        <w:t>g Entit</w:t>
      </w:r>
      <w:r w:rsidR="00B9260C">
        <w:t>ies</w:t>
      </w:r>
      <w:r w:rsidR="00C27601" w:rsidRPr="00C27601">
        <w:t xml:space="preserve"> (LSE) collect</w:t>
      </w:r>
      <w:r w:rsidR="00C27601">
        <w:t xml:space="preserve">, through </w:t>
      </w:r>
      <w:r w:rsidR="0000540F">
        <w:t xml:space="preserve">the </w:t>
      </w:r>
      <w:r w:rsidR="001F60A4">
        <w:t>CAISO</w:t>
      </w:r>
      <w:r w:rsidR="00C27601">
        <w:t xml:space="preserve">, </w:t>
      </w:r>
      <w:r w:rsidR="00C27601" w:rsidRPr="00C27601">
        <w:t>all the payments from generator</w:t>
      </w:r>
      <w:r w:rsidR="00B9260C">
        <w:t xml:space="preserve">s </w:t>
      </w:r>
      <w:r w:rsidR="00EE69BD">
        <w:t xml:space="preserve">that </w:t>
      </w:r>
      <w:r w:rsidR="00EE69BD" w:rsidRPr="00C27601">
        <w:t>pay</w:t>
      </w:r>
      <w:r w:rsidR="00C27601" w:rsidRPr="00C27601">
        <w:t xml:space="preserve"> to generate</w:t>
      </w:r>
      <w:r w:rsidR="00A975D5">
        <w:t xml:space="preserve"> a</w:t>
      </w:r>
      <w:r w:rsidR="00EE69BD">
        <w:t>lthough</w:t>
      </w:r>
      <w:r w:rsidR="00C27601">
        <w:t xml:space="preserve"> S1 is not totally in the red as </w:t>
      </w:r>
      <w:r w:rsidR="00B9260C">
        <w:t xml:space="preserve">there are </w:t>
      </w:r>
      <w:r w:rsidR="00C27601">
        <w:t>other bilateral revenue</w:t>
      </w:r>
      <w:r w:rsidR="00B9260C">
        <w:t xml:space="preserve"> streams</w:t>
      </w:r>
      <w:r w:rsidR="00C27601">
        <w:t xml:space="preserve"> </w:t>
      </w:r>
      <w:r w:rsidR="00B9260C">
        <w:t>outside of the CAISO markets</w:t>
      </w:r>
      <w:r w:rsidR="00A975D5">
        <w:t>. For instance, there may be</w:t>
      </w:r>
      <w:r w:rsidR="00FE3A4A">
        <w:t xml:space="preserve"> </w:t>
      </w:r>
      <w:r w:rsidR="00B9260C">
        <w:t xml:space="preserve">power purchase agreements </w:t>
      </w:r>
      <w:r w:rsidR="00C27601">
        <w:t>between</w:t>
      </w:r>
      <w:r w:rsidR="00217B20">
        <w:t xml:space="preserve"> </w:t>
      </w:r>
      <w:r w:rsidR="001F60A4">
        <w:t>LSE</w:t>
      </w:r>
      <w:r w:rsidR="00C27601">
        <w:t xml:space="preserve"> and S1</w:t>
      </w:r>
      <w:r w:rsidR="00A975D5">
        <w:t xml:space="preserve"> </w:t>
      </w:r>
      <w:r w:rsidR="00C27601">
        <w:t xml:space="preserve">for </w:t>
      </w:r>
      <w:r w:rsidR="00B9260C">
        <w:t>Renewable Energy Credits (</w:t>
      </w:r>
      <w:r w:rsidR="00C27601">
        <w:t>RECS</w:t>
      </w:r>
      <w:r w:rsidR="00B9260C">
        <w:t>)</w:t>
      </w:r>
      <w:r w:rsidR="00C27601">
        <w:t xml:space="preserve"> and other payments such as </w:t>
      </w:r>
      <w:r w:rsidR="00B9260C">
        <w:t xml:space="preserve">Resource Adequacy (RA) </w:t>
      </w:r>
      <w:r w:rsidR="00C27601">
        <w:t xml:space="preserve">that S1 may collect. </w:t>
      </w:r>
    </w:p>
    <w:p w14:paraId="08B4BA4B" w14:textId="5AB16EAA" w:rsidR="00EC6886" w:rsidRDefault="00217B20" w:rsidP="00716577">
      <w:r>
        <w:t>S</w:t>
      </w:r>
      <w:r w:rsidR="00EC6886">
        <w:t xml:space="preserve">ome may </w:t>
      </w:r>
      <w:r>
        <w:t xml:space="preserve">say that S2 is stuck </w:t>
      </w:r>
      <w:r w:rsidR="001F60A4">
        <w:t>with a</w:t>
      </w:r>
      <w:r w:rsidR="00765D86">
        <w:t xml:space="preserve"> </w:t>
      </w:r>
      <w:r w:rsidR="00EC6886">
        <w:t>curtailment</w:t>
      </w:r>
      <w:r>
        <w:t xml:space="preserve"> and</w:t>
      </w:r>
      <w:r w:rsidR="00B9260C">
        <w:t xml:space="preserve"> </w:t>
      </w:r>
      <w:r w:rsidR="00EC6886">
        <w:t>other</w:t>
      </w:r>
      <w:r w:rsidR="00B9260C">
        <w:t>s</w:t>
      </w:r>
      <w:r w:rsidR="00EC6886">
        <w:t xml:space="preserve"> may call it “not in the money”. Whatever the case may be,</w:t>
      </w:r>
      <w:r w:rsidR="00C27601">
        <w:t xml:space="preserve"> suppliers such </w:t>
      </w:r>
      <w:r>
        <w:t xml:space="preserve">as </w:t>
      </w:r>
      <w:r w:rsidR="00C27601">
        <w:t xml:space="preserve">S2 </w:t>
      </w:r>
      <w:r w:rsidR="00276D2A">
        <w:t>do not receive</w:t>
      </w:r>
      <w:r w:rsidR="00765D86">
        <w:t xml:space="preserve"> </w:t>
      </w:r>
      <w:r w:rsidR="00C27601">
        <w:t xml:space="preserve">or </w:t>
      </w:r>
      <w:r w:rsidR="00646259">
        <w:t>pay</w:t>
      </w:r>
      <w:r w:rsidR="00C27601">
        <w:t xml:space="preserve"> the </w:t>
      </w:r>
      <w:r w:rsidR="00B9260C">
        <w:t>CA</w:t>
      </w:r>
      <w:r w:rsidR="00C27601">
        <w:t>ISO</w:t>
      </w:r>
      <w:r>
        <w:t xml:space="preserve">. </w:t>
      </w:r>
      <w:r w:rsidR="001F60A4">
        <w:t>However,</w:t>
      </w:r>
      <w:r w:rsidR="00C27601">
        <w:t xml:space="preserve"> depending on their bilateral contract with the LSE, they may collect a payment from </w:t>
      </w:r>
      <w:r w:rsidR="0081102F">
        <w:t xml:space="preserve">the </w:t>
      </w:r>
      <w:r w:rsidR="00C27601">
        <w:t xml:space="preserve">LSE to be curtailed. </w:t>
      </w:r>
    </w:p>
    <w:p w14:paraId="163A0E9D" w14:textId="68ED56DF" w:rsidR="00C27601" w:rsidRDefault="00C27601" w:rsidP="00716577">
      <w:r>
        <w:t>In 202</w:t>
      </w:r>
      <w:r w:rsidR="00B9260C">
        <w:t>2</w:t>
      </w:r>
      <w:r>
        <w:t xml:space="preserve">, </w:t>
      </w:r>
      <w:r w:rsidR="00646259">
        <w:t>CAISO</w:t>
      </w:r>
      <w:r>
        <w:t xml:space="preserve"> collected </w:t>
      </w:r>
      <w:r w:rsidR="00765D86">
        <w:t>$</w:t>
      </w:r>
      <w:r>
        <w:t>23</w:t>
      </w:r>
      <w:r w:rsidR="00B9260C">
        <w:t xml:space="preserve"> </w:t>
      </w:r>
      <w:r>
        <w:t>m</w:t>
      </w:r>
      <w:r w:rsidR="00B9260C">
        <w:t>illion</w:t>
      </w:r>
      <w:r>
        <w:t xml:space="preserve"> or </w:t>
      </w:r>
      <w:r w:rsidR="00765D86">
        <w:t>0.15%</w:t>
      </w:r>
      <w:r w:rsidR="00B9260C">
        <w:t xml:space="preserve"> of</w:t>
      </w:r>
      <w:r w:rsidR="00765D86">
        <w:t xml:space="preserve"> </w:t>
      </w:r>
      <w:r w:rsidR="001F60A4">
        <w:t>CAISO’s</w:t>
      </w:r>
      <w:r w:rsidR="00765D86">
        <w:t xml:space="preserve"> wholesale energy </w:t>
      </w:r>
      <w:r w:rsidR="00B9260C">
        <w:t>c</w:t>
      </w:r>
      <w:r w:rsidR="00765D86">
        <w:t xml:space="preserve">ost and is 1.6% </w:t>
      </w:r>
      <w:r w:rsidR="00B9260C">
        <w:t xml:space="preserve">of </w:t>
      </w:r>
      <w:r w:rsidR="00765D86">
        <w:t xml:space="preserve">the CAISO load. </w:t>
      </w:r>
    </w:p>
    <w:p w14:paraId="2272757F" w14:textId="06F38027" w:rsidR="00EC6886" w:rsidRDefault="00765D86" w:rsidP="00716577">
      <w:r w:rsidRPr="00765D86">
        <w:t>In 202</w:t>
      </w:r>
      <w:r>
        <w:t>3</w:t>
      </w:r>
      <w:r w:rsidRPr="00765D86">
        <w:t xml:space="preserve">, </w:t>
      </w:r>
      <w:r w:rsidR="00646259">
        <w:t xml:space="preserve">CAISO </w:t>
      </w:r>
      <w:r w:rsidRPr="00765D86">
        <w:t>collected $</w:t>
      </w:r>
      <w:r>
        <w:t>159</w:t>
      </w:r>
      <w:r w:rsidR="00B9260C">
        <w:t xml:space="preserve"> </w:t>
      </w:r>
      <w:r w:rsidRPr="00765D86">
        <w:t>m</w:t>
      </w:r>
      <w:r w:rsidR="00B9260C">
        <w:t>illion</w:t>
      </w:r>
      <w:r w:rsidRPr="00765D86">
        <w:t xml:space="preserve"> or </w:t>
      </w:r>
      <w:r>
        <w:t>1</w:t>
      </w:r>
      <w:r w:rsidRPr="00765D86">
        <w:t xml:space="preserve">% </w:t>
      </w:r>
      <w:r w:rsidR="00B9260C">
        <w:t xml:space="preserve">of </w:t>
      </w:r>
      <w:r w:rsidR="00EE69BD">
        <w:t>CAISO’s</w:t>
      </w:r>
      <w:r w:rsidRPr="00765D86">
        <w:t xml:space="preserve"> wholesale energy </w:t>
      </w:r>
      <w:r w:rsidR="00B9260C">
        <w:t>c</w:t>
      </w:r>
      <w:r w:rsidRPr="00765D86">
        <w:t xml:space="preserve">ost and is </w:t>
      </w:r>
      <w:r>
        <w:t>5.8</w:t>
      </w:r>
      <w:r w:rsidR="00EE69BD" w:rsidRPr="00765D86">
        <w:t>%</w:t>
      </w:r>
      <w:r w:rsidR="00EE69BD">
        <w:t xml:space="preserve"> of</w:t>
      </w:r>
      <w:r w:rsidRPr="00765D86">
        <w:t xml:space="preserve"> the CAISO load.</w:t>
      </w:r>
      <w:r>
        <w:t xml:space="preserve"> This is quite an increase and is much more interesting </w:t>
      </w:r>
      <w:r w:rsidR="00276D2A">
        <w:t>than</w:t>
      </w:r>
      <w:r>
        <w:t xml:space="preserve"> curtailment. </w:t>
      </w:r>
    </w:p>
    <w:p w14:paraId="0F0CD2D8" w14:textId="742AA8E9" w:rsidR="00765D86" w:rsidRDefault="00765D86" w:rsidP="00716577">
      <w:r>
        <w:t>In Q</w:t>
      </w:r>
      <w:r w:rsidR="00373B60">
        <w:t>TR</w:t>
      </w:r>
      <w:r>
        <w:t xml:space="preserve">1 2025, we already surpassed </w:t>
      </w:r>
      <w:r w:rsidR="00373B60">
        <w:t xml:space="preserve">all of </w:t>
      </w:r>
      <w:r>
        <w:t>2023 when suppliers pa</w:t>
      </w:r>
      <w:r w:rsidR="00B9260C">
        <w:t>id</w:t>
      </w:r>
      <w:r>
        <w:t xml:space="preserve"> </w:t>
      </w:r>
      <w:r w:rsidR="00EE69BD">
        <w:t>CAISO</w:t>
      </w:r>
      <w:r>
        <w:t xml:space="preserve"> $42</w:t>
      </w:r>
      <w:r w:rsidR="00B9260C">
        <w:t xml:space="preserve"> million</w:t>
      </w:r>
      <w:r>
        <w:t xml:space="preserve"> to generate 3.7 TWh. </w:t>
      </w:r>
    </w:p>
    <w:p w14:paraId="621BF401" w14:textId="239EF52C" w:rsidR="005A4B29" w:rsidRDefault="005A4B29" w:rsidP="00716577">
      <w:r>
        <w:t>To provide some context, the 2023 bid recovery payment from CAISO to gas</w:t>
      </w:r>
      <w:r w:rsidR="00373B60">
        <w:t>-</w:t>
      </w:r>
      <w:r>
        <w:t>fired generation was $289 million. So, these negative price payments by renewable</w:t>
      </w:r>
      <w:r w:rsidR="0079304B">
        <w:t xml:space="preserve"> energy</w:t>
      </w:r>
      <w:r>
        <w:t xml:space="preserve"> suppliers or curtailment are not as big as many may think! </w:t>
      </w:r>
    </w:p>
    <w:p w14:paraId="5407AB7E" w14:textId="364CB88B" w:rsidR="00646259" w:rsidRDefault="00765D86" w:rsidP="00716577">
      <w:r>
        <w:t xml:space="preserve">What does all this mean? Markets </w:t>
      </w:r>
      <w:r w:rsidR="00276D2A">
        <w:t>work</w:t>
      </w:r>
      <w:r w:rsidR="00373B60">
        <w:t>!  S</w:t>
      </w:r>
      <w:r>
        <w:t xml:space="preserve">uppliers </w:t>
      </w:r>
      <w:r w:rsidR="00646259">
        <w:t xml:space="preserve">such S1 </w:t>
      </w:r>
      <w:r>
        <w:t xml:space="preserve">are bidding into the CAISO market and </w:t>
      </w:r>
      <w:r w:rsidR="00EE69BD">
        <w:t>CAISO</w:t>
      </w:r>
      <w:r>
        <w:t xml:space="preserve"> has </w:t>
      </w:r>
      <w:r w:rsidR="001F60A4">
        <w:t>the tools</w:t>
      </w:r>
      <w:r>
        <w:t xml:space="preserve"> to balance the system. </w:t>
      </w:r>
      <w:r w:rsidR="00EE69BD">
        <w:t>CAISO</w:t>
      </w:r>
      <w:r w:rsidR="00646259">
        <w:t xml:space="preserve"> receive</w:t>
      </w:r>
      <w:r w:rsidR="0079304B">
        <w:t>s</w:t>
      </w:r>
      <w:r w:rsidR="00646259">
        <w:t xml:space="preserve"> these payments and allocate</w:t>
      </w:r>
      <w:r w:rsidR="0079304B">
        <w:t>s</w:t>
      </w:r>
      <w:r w:rsidR="00646259">
        <w:t xml:space="preserve"> them to LSEs. Negative prices are an effective way to manage the grid, and revenue goes to the LSEs. </w:t>
      </w:r>
      <w:r w:rsidR="00646259" w:rsidRPr="00646259">
        <w:t>Whether the LSE passes these saving</w:t>
      </w:r>
      <w:r w:rsidR="00297ECA">
        <w:t>s</w:t>
      </w:r>
      <w:r w:rsidR="00646259" w:rsidRPr="00646259">
        <w:t xml:space="preserve"> to the retail customers is another chapter and </w:t>
      </w:r>
      <w:r w:rsidR="0079304B">
        <w:t xml:space="preserve">is </w:t>
      </w:r>
      <w:r w:rsidR="00646259" w:rsidRPr="00646259">
        <w:t>much more complicated</w:t>
      </w:r>
      <w:r w:rsidR="00297ECA">
        <w:t>.</w:t>
      </w:r>
    </w:p>
    <w:p w14:paraId="035E5CB1" w14:textId="143394FE" w:rsidR="00EC6886" w:rsidRDefault="00646259" w:rsidP="00716577">
      <w:r>
        <w:t xml:space="preserve">Suppliers </w:t>
      </w:r>
      <w:r w:rsidR="00373B60">
        <w:t xml:space="preserve">such </w:t>
      </w:r>
      <w:r w:rsidR="001F60A4">
        <w:t>as S</w:t>
      </w:r>
      <w:r>
        <w:t xml:space="preserve">2 are not </w:t>
      </w:r>
      <w:r w:rsidR="00297ECA">
        <w:t>“</w:t>
      </w:r>
      <w:r>
        <w:t>in the money</w:t>
      </w:r>
      <w:r w:rsidR="00297ECA">
        <w:t>”</w:t>
      </w:r>
      <w:r>
        <w:t xml:space="preserve"> or curtailed by choice and are </w:t>
      </w:r>
      <w:r w:rsidR="0079304B">
        <w:t>a small fraction</w:t>
      </w:r>
      <w:r w:rsidR="00B77514">
        <w:t xml:space="preserve"> </w:t>
      </w:r>
      <w:r w:rsidR="0079304B">
        <w:t xml:space="preserve">of </w:t>
      </w:r>
      <w:r w:rsidR="00B77514">
        <w:t>the entire market.</w:t>
      </w:r>
    </w:p>
    <w:p w14:paraId="68409E43" w14:textId="77777777" w:rsidR="00646259" w:rsidRDefault="00646259" w:rsidP="00716577">
      <w:pPr>
        <w:rPr>
          <w:b/>
          <w:bCs/>
        </w:rPr>
      </w:pPr>
    </w:p>
    <w:p w14:paraId="4F6CB585" w14:textId="77777777" w:rsidR="00646259" w:rsidRDefault="00646259" w:rsidP="00716577">
      <w:pPr>
        <w:rPr>
          <w:b/>
          <w:bCs/>
        </w:rPr>
      </w:pPr>
    </w:p>
    <w:p w14:paraId="7F3E9753" w14:textId="77777777" w:rsidR="00646259" w:rsidRDefault="00646259" w:rsidP="00716577">
      <w:pPr>
        <w:rPr>
          <w:b/>
          <w:bCs/>
        </w:rPr>
      </w:pPr>
    </w:p>
    <w:p w14:paraId="01978839" w14:textId="77777777" w:rsidR="00646259" w:rsidRDefault="00646259" w:rsidP="00716577">
      <w:pPr>
        <w:rPr>
          <w:b/>
          <w:bCs/>
        </w:rPr>
      </w:pPr>
    </w:p>
    <w:p w14:paraId="32D6AE6D" w14:textId="77777777" w:rsidR="00646259" w:rsidRDefault="00646259" w:rsidP="00716577">
      <w:pPr>
        <w:rPr>
          <w:b/>
          <w:bCs/>
        </w:rPr>
      </w:pPr>
    </w:p>
    <w:p w14:paraId="03590B14" w14:textId="77777777" w:rsidR="00646259" w:rsidRDefault="00646259" w:rsidP="00716577">
      <w:pPr>
        <w:rPr>
          <w:b/>
          <w:bCs/>
        </w:rPr>
      </w:pPr>
    </w:p>
    <w:p w14:paraId="54B0F5F5" w14:textId="77777777" w:rsidR="00646259" w:rsidRDefault="00646259" w:rsidP="00716577">
      <w:pPr>
        <w:rPr>
          <w:b/>
          <w:bCs/>
        </w:rPr>
      </w:pPr>
    </w:p>
    <w:p w14:paraId="4717D4DD" w14:textId="77777777" w:rsidR="00646259" w:rsidRDefault="00646259" w:rsidP="00716577">
      <w:pPr>
        <w:rPr>
          <w:b/>
          <w:bCs/>
        </w:rPr>
      </w:pPr>
    </w:p>
    <w:p w14:paraId="40018356" w14:textId="77777777" w:rsidR="00432BEB" w:rsidRDefault="00432BEB" w:rsidP="00716577">
      <w:pPr>
        <w:rPr>
          <w:b/>
          <w:bCs/>
        </w:rPr>
      </w:pPr>
    </w:p>
    <w:p w14:paraId="5F30D463" w14:textId="77777777" w:rsidR="00432BEB" w:rsidRDefault="00432BEB" w:rsidP="00716577">
      <w:pPr>
        <w:rPr>
          <w:b/>
          <w:bCs/>
        </w:rPr>
      </w:pPr>
    </w:p>
    <w:p w14:paraId="6493CE7F" w14:textId="77777777" w:rsidR="00EE69BD" w:rsidRDefault="00EE69BD" w:rsidP="00716577">
      <w:pPr>
        <w:rPr>
          <w:b/>
          <w:bCs/>
        </w:rPr>
      </w:pPr>
    </w:p>
    <w:p w14:paraId="7FC4C4A3" w14:textId="77777777" w:rsidR="00EE69BD" w:rsidRDefault="00EE69BD" w:rsidP="00716577">
      <w:pPr>
        <w:rPr>
          <w:b/>
          <w:bCs/>
        </w:rPr>
      </w:pPr>
    </w:p>
    <w:p w14:paraId="56D3661A" w14:textId="77777777" w:rsidR="00EE69BD" w:rsidRDefault="00EE69BD" w:rsidP="00716577">
      <w:pPr>
        <w:rPr>
          <w:b/>
          <w:bCs/>
        </w:rPr>
      </w:pPr>
    </w:p>
    <w:p w14:paraId="0AD180AD" w14:textId="77777777" w:rsidR="00432BEB" w:rsidRDefault="00432BEB" w:rsidP="00716577">
      <w:pPr>
        <w:rPr>
          <w:b/>
          <w:bCs/>
        </w:rPr>
      </w:pPr>
    </w:p>
    <w:p w14:paraId="606E4456" w14:textId="77777777" w:rsidR="00432BEB" w:rsidRDefault="00432BEB" w:rsidP="00716577">
      <w:pPr>
        <w:rPr>
          <w:b/>
          <w:bCs/>
        </w:rPr>
      </w:pPr>
    </w:p>
    <w:p w14:paraId="23192374" w14:textId="77777777" w:rsidR="00432BEB" w:rsidRDefault="00432BEB" w:rsidP="00716577">
      <w:pPr>
        <w:rPr>
          <w:b/>
          <w:bCs/>
        </w:rPr>
      </w:pPr>
    </w:p>
    <w:p w14:paraId="23A3995D" w14:textId="77777777" w:rsidR="00297ECA" w:rsidRDefault="00297ECA">
      <w:pPr>
        <w:rPr>
          <w:b/>
          <w:bCs/>
        </w:rPr>
      </w:pPr>
      <w:r>
        <w:rPr>
          <w:b/>
          <w:bCs/>
        </w:rPr>
        <w:br w:type="page"/>
      </w:r>
    </w:p>
    <w:p w14:paraId="598E1B7C" w14:textId="31C4058F" w:rsidR="00EC6886" w:rsidRPr="00CD7658" w:rsidRDefault="00432BEB" w:rsidP="00CD7658">
      <w:pPr>
        <w:jc w:val="center"/>
        <w:rPr>
          <w:b/>
          <w:bCs/>
          <w:sz w:val="28"/>
          <w:szCs w:val="28"/>
        </w:rPr>
      </w:pPr>
      <w:r w:rsidRPr="00CD7658">
        <w:rPr>
          <w:b/>
          <w:bCs/>
          <w:sz w:val="32"/>
          <w:szCs w:val="32"/>
        </w:rPr>
        <w:t xml:space="preserve">Summary </w:t>
      </w:r>
      <w:r w:rsidR="006E6A89">
        <w:rPr>
          <w:b/>
          <w:bCs/>
          <w:sz w:val="32"/>
          <w:szCs w:val="32"/>
        </w:rPr>
        <w:t>R</w:t>
      </w:r>
      <w:r w:rsidRPr="00CD7658">
        <w:rPr>
          <w:b/>
          <w:bCs/>
          <w:sz w:val="32"/>
          <w:szCs w:val="32"/>
        </w:rPr>
        <w:t>eport</w:t>
      </w:r>
    </w:p>
    <w:p w14:paraId="0B05C9AA" w14:textId="5968B4F2" w:rsidR="003270CD" w:rsidRDefault="008055AF" w:rsidP="00716577">
      <w:r>
        <w:t xml:space="preserve">As you </w:t>
      </w:r>
      <w:r w:rsidR="00297ECA">
        <w:t xml:space="preserve">will </w:t>
      </w:r>
      <w:r>
        <w:t xml:space="preserve">see in this report, </w:t>
      </w:r>
      <w:r w:rsidR="00FC2AC7">
        <w:t xml:space="preserve">Load Serving Entities </w:t>
      </w:r>
      <w:r w:rsidR="006E6A89">
        <w:t>(</w:t>
      </w:r>
      <w:r w:rsidR="00B77514">
        <w:t>LSE</w:t>
      </w:r>
      <w:r w:rsidR="006E6A89">
        <w:t>’s</w:t>
      </w:r>
      <w:r w:rsidR="00FC2AC7">
        <w:t>)</w:t>
      </w:r>
      <w:r w:rsidR="00D95B2F">
        <w:t xml:space="preserve"> </w:t>
      </w:r>
      <w:r w:rsidR="003270CD">
        <w:t xml:space="preserve">and </w:t>
      </w:r>
      <w:r w:rsidR="00EE69BD">
        <w:t>exporters</w:t>
      </w:r>
      <w:r w:rsidR="00FC2AC7">
        <w:t xml:space="preserve"> of energy </w:t>
      </w:r>
      <w:r w:rsidR="003270CD">
        <w:t xml:space="preserve">appear </w:t>
      </w:r>
      <w:r w:rsidR="00D95B2F">
        <w:t xml:space="preserve">to be </w:t>
      </w:r>
      <w:r>
        <w:t>the winner</w:t>
      </w:r>
      <w:r w:rsidR="00D95B2F">
        <w:t>s</w:t>
      </w:r>
      <w:r w:rsidR="003270CD">
        <w:t xml:space="preserve"> when suppliers pay to generate</w:t>
      </w:r>
      <w:r>
        <w:rPr>
          <w:rStyle w:val="FootnoteReference"/>
        </w:rPr>
        <w:footnoteReference w:id="3"/>
      </w:r>
      <w:r w:rsidR="003270CD">
        <w:t xml:space="preserve"> a</w:t>
      </w:r>
      <w:r w:rsidR="007A4343">
        <w:t>fter</w:t>
      </w:r>
      <w:r w:rsidR="003270CD">
        <w:t xml:space="preserve"> </w:t>
      </w:r>
      <w:r w:rsidR="007A4343">
        <w:t>receiving approximately</w:t>
      </w:r>
      <w:r w:rsidR="003270CD">
        <w:t xml:space="preserve"> $226 million in 2023, 2024 and Q</w:t>
      </w:r>
      <w:r w:rsidR="007A4343">
        <w:t>TR</w:t>
      </w:r>
      <w:r w:rsidR="00D95B2F">
        <w:t>1</w:t>
      </w:r>
      <w:r w:rsidR="003270CD">
        <w:t xml:space="preserve"> 2025</w:t>
      </w:r>
      <w:r w:rsidR="00D95B2F">
        <w:t xml:space="preserve">. </w:t>
      </w:r>
      <w:r>
        <w:t xml:space="preserve"> </w:t>
      </w:r>
      <w:r w:rsidR="00D95B2F">
        <w:t>S</w:t>
      </w:r>
      <w:r>
        <w:t xml:space="preserve">uppliers are the losers </w:t>
      </w:r>
      <w:r w:rsidR="003270CD">
        <w:t xml:space="preserve">because </w:t>
      </w:r>
      <w:r w:rsidR="007A4343">
        <w:t xml:space="preserve">of a drop </w:t>
      </w:r>
      <w:r w:rsidR="0000540F">
        <w:t>in energy</w:t>
      </w:r>
      <w:r w:rsidR="003270CD">
        <w:t xml:space="preserve"> revenu</w:t>
      </w:r>
      <w:r w:rsidR="007A4343">
        <w:t xml:space="preserve">e when </w:t>
      </w:r>
      <w:r w:rsidR="00944BE4">
        <w:t>they pay</w:t>
      </w:r>
      <w:r w:rsidR="003270CD">
        <w:t xml:space="preserve"> $226 m</w:t>
      </w:r>
      <w:r w:rsidR="00D95B2F">
        <w:t>illion</w:t>
      </w:r>
      <w:r w:rsidR="003270CD">
        <w:t xml:space="preserve"> to generate electricity</w:t>
      </w:r>
      <w:r w:rsidR="00D95B2F">
        <w:t>.  T</w:t>
      </w:r>
      <w:r w:rsidR="003270CD">
        <w:t xml:space="preserve">he </w:t>
      </w:r>
      <w:r w:rsidR="00D95B2F">
        <w:t>CA</w:t>
      </w:r>
      <w:r>
        <w:t xml:space="preserve">ISO </w:t>
      </w:r>
      <w:r w:rsidR="003270CD">
        <w:t>is financial</w:t>
      </w:r>
      <w:r w:rsidR="00D95B2F">
        <w:t>ly</w:t>
      </w:r>
      <w:r w:rsidR="003270CD">
        <w:t xml:space="preserve"> neutral but must</w:t>
      </w:r>
      <w:r>
        <w:t xml:space="preserve"> do more work to continuously balance the system through market signals. </w:t>
      </w:r>
    </w:p>
    <w:p w14:paraId="4763C4B9" w14:textId="4547BD75" w:rsidR="0046690A" w:rsidRDefault="00DA2395" w:rsidP="00716577">
      <w:r>
        <w:t>H</w:t>
      </w:r>
      <w:r w:rsidR="0046690A">
        <w:t xml:space="preserve">owever, energy payments are just one part of a </w:t>
      </w:r>
      <w:r w:rsidR="00301F0F">
        <w:t>supplier</w:t>
      </w:r>
      <w:r w:rsidR="0046690A">
        <w:t xml:space="preserve">’s revenue stream. California regulations require </w:t>
      </w:r>
      <w:r w:rsidR="00FC2AC7">
        <w:t>LSEs</w:t>
      </w:r>
      <w:r w:rsidR="0046690A">
        <w:t xml:space="preserve"> to meet specific percentages of their load with zero-emission sources. To verify compliance, LSEs must procure Renewable Energy Credits (RECs) from suppliers. Additionally, LSEs are mandated to secure enough generation capacity to meet reliability standards, leading to a third revenue source for suppliers known as Resource Adequacy (RA).</w:t>
      </w:r>
    </w:p>
    <w:p w14:paraId="6020D63F" w14:textId="767FA118" w:rsidR="00301F0F" w:rsidRDefault="0046690A" w:rsidP="00716577">
      <w:r>
        <w:t>Most suppliers structure long-term contracts</w:t>
      </w:r>
      <w:r w:rsidR="00D606E4">
        <w:t xml:space="preserve"> </w:t>
      </w:r>
      <w:r>
        <w:t>that bundle three payments: compensation for energy delivered, RECs, and RA capacity.</w:t>
      </w:r>
      <w:r w:rsidR="00DA2395">
        <w:t xml:space="preserve"> </w:t>
      </w:r>
      <w:r>
        <w:t>This allows the</w:t>
      </w:r>
      <w:r w:rsidR="00695910">
        <w:t xml:space="preserve"> generator</w:t>
      </w:r>
      <w:r>
        <w:t xml:space="preserve"> to earn revenue even during negative pricing periods</w:t>
      </w:r>
      <w:r w:rsidR="00FB7713">
        <w:t xml:space="preserve"> because</w:t>
      </w:r>
      <w:r w:rsidR="007A4343">
        <w:t>,</w:t>
      </w:r>
      <w:r w:rsidR="00FB7713">
        <w:t xml:space="preserve"> in some cases, LSEs are willing to pay for the generators to produce energy during </w:t>
      </w:r>
      <w:r w:rsidR="001F60A4">
        <w:t>negatively priced</w:t>
      </w:r>
      <w:r w:rsidR="00FB7713">
        <w:t xml:space="preserve"> periods </w:t>
      </w:r>
      <w:r w:rsidR="00EE69BD">
        <w:t>since</w:t>
      </w:r>
      <w:r w:rsidR="00FB7713">
        <w:t xml:space="preserve"> they would have to purchase RECs and RA capacity if they chose to curtail the energy</w:t>
      </w:r>
      <w:r>
        <w:t>. However, because</w:t>
      </w:r>
      <w:r w:rsidR="008055AF">
        <w:t xml:space="preserve"> PPA contracts</w:t>
      </w:r>
      <w:r w:rsidR="007A4343">
        <w:t>,</w:t>
      </w:r>
      <w:r w:rsidR="008055AF">
        <w:t xml:space="preserve"> including </w:t>
      </w:r>
      <w:r>
        <w:t>REC and RA contracts</w:t>
      </w:r>
      <w:r w:rsidR="007A4343">
        <w:t>,</w:t>
      </w:r>
      <w:r>
        <w:t xml:space="preserve"> are typically bilateral and confidential, it is difficult to determine whether suppliers can remain profitable when energy prices dip below zero. From ZGlobal’s perspective, the combined value of RECs and RA payments may not always offset the financial losses incurred from negative energy </w:t>
      </w:r>
      <w:r w:rsidR="00EE69BD">
        <w:t>prices, especially</w:t>
      </w:r>
      <w:r>
        <w:t xml:space="preserve"> as these events become more frequent</w:t>
      </w:r>
      <w:r w:rsidR="008055AF">
        <w:t xml:space="preserve"> and negative pricing </w:t>
      </w:r>
      <w:r w:rsidR="00D9198C">
        <w:t>is driven lower</w:t>
      </w:r>
      <w:r w:rsidR="008055AF">
        <w:t xml:space="preserve">. </w:t>
      </w:r>
    </w:p>
    <w:p w14:paraId="24A96965" w14:textId="4058EDA6" w:rsidR="00367CF8" w:rsidRPr="00E06462" w:rsidRDefault="0046690A" w:rsidP="0046690A">
      <w:r>
        <w:t xml:space="preserve">Quantifying the total amount that generators have effectively paid to keep producing during </w:t>
      </w:r>
      <w:r w:rsidR="001F60A4">
        <w:t>negatively priced</w:t>
      </w:r>
      <w:r>
        <w:t xml:space="preserve"> hours is challenging. Each generator is assigned a unique pricing node (</w:t>
      </w:r>
      <w:proofErr w:type="spellStart"/>
      <w:r>
        <w:t>PNode</w:t>
      </w:r>
      <w:proofErr w:type="spellEnd"/>
      <w:r>
        <w:t xml:space="preserve">), where locational marginal prices (LMPs) reflect not only the energy price but also congestion and transmission losses. To simplify this analysis, this report focuses on the universal energy component of the LMP across the California Independent System Operator (CAISO) market. It highlights the year-over-year increase in </w:t>
      </w:r>
      <w:r w:rsidR="001F60A4">
        <w:t>negatively priced</w:t>
      </w:r>
      <w:r>
        <w:t xml:space="preserve"> energy hours from 2022 to</w:t>
      </w:r>
      <w:r w:rsidR="008055AF">
        <w:t xml:space="preserve"> Q</w:t>
      </w:r>
      <w:r w:rsidR="00DC557E">
        <w:t>TR</w:t>
      </w:r>
      <w:r w:rsidR="008055AF">
        <w:t xml:space="preserve">1 </w:t>
      </w:r>
      <w:r>
        <w:t>2025, with particular attention to seasonal trends that contribute to this growing phenomenon.</w:t>
      </w:r>
    </w:p>
    <w:p w14:paraId="29FA9AD0" w14:textId="5FEBC84A" w:rsidR="000159F9" w:rsidRPr="000E6B98" w:rsidRDefault="00F8434F" w:rsidP="000159F9">
      <w:pPr>
        <w:rPr>
          <w:b/>
          <w:bCs/>
          <w:sz w:val="28"/>
          <w:szCs w:val="28"/>
        </w:rPr>
      </w:pPr>
      <w:r w:rsidRPr="00716577">
        <w:rPr>
          <w:b/>
          <w:bCs/>
          <w:sz w:val="28"/>
          <w:szCs w:val="28"/>
        </w:rPr>
        <w:t>Summary of Findings:</w:t>
      </w:r>
      <w:r>
        <w:t xml:space="preserve"> </w:t>
      </w:r>
      <w:r>
        <w:rPr>
          <w:b/>
          <w:bCs/>
          <w:sz w:val="28"/>
          <w:szCs w:val="28"/>
        </w:rPr>
        <w:t>B</w:t>
      </w:r>
      <w:r w:rsidR="000159F9">
        <w:rPr>
          <w:b/>
          <w:bCs/>
          <w:sz w:val="28"/>
          <w:szCs w:val="28"/>
        </w:rPr>
        <w:t xml:space="preserve">reaking Down </w:t>
      </w:r>
      <w:r w:rsidR="00643AD9">
        <w:rPr>
          <w:b/>
          <w:bCs/>
          <w:sz w:val="28"/>
          <w:szCs w:val="28"/>
        </w:rPr>
        <w:t xml:space="preserve">the Increase of </w:t>
      </w:r>
      <w:r w:rsidR="000159F9">
        <w:rPr>
          <w:b/>
          <w:bCs/>
          <w:sz w:val="28"/>
          <w:szCs w:val="28"/>
        </w:rPr>
        <w:t>Negative Energy Pricing Over Time</w:t>
      </w:r>
    </w:p>
    <w:p w14:paraId="5AF3D97E" w14:textId="1B96CD1B" w:rsidR="00E847FE" w:rsidRDefault="000159F9" w:rsidP="000159F9">
      <w:r w:rsidRPr="000E6B98">
        <w:t xml:space="preserve">In </w:t>
      </w:r>
      <w:r w:rsidR="00402EBA">
        <w:t>the</w:t>
      </w:r>
      <w:r w:rsidR="00F8434F">
        <w:t xml:space="preserve"> </w:t>
      </w:r>
      <w:r w:rsidR="00402EBA">
        <w:t>CAISO</w:t>
      </w:r>
      <w:r w:rsidR="00367CF8">
        <w:t xml:space="preserve"> </w:t>
      </w:r>
      <w:r w:rsidR="00F8434F">
        <w:t>b</w:t>
      </w:r>
      <w:r w:rsidR="00367CF8">
        <w:t xml:space="preserve">alancing </w:t>
      </w:r>
      <w:r w:rsidR="00F8434F">
        <w:t>a</w:t>
      </w:r>
      <w:r w:rsidR="00367CF8">
        <w:t>rea</w:t>
      </w:r>
      <w:r w:rsidRPr="000E6B98">
        <w:t>, negative energy pricing has become more frequent over time, especially during the spring months. The quantity of negatively priced hours has been steadily increasing from 2022 to 2025, driven by rising renewable generation and seasonal factors.</w:t>
      </w:r>
      <w:r w:rsidR="00402EBA">
        <w:t xml:space="preserve"> The chart below shows an illustration of</w:t>
      </w:r>
      <w:r w:rsidR="00F02804">
        <w:t xml:space="preserve"> the cumulative total of</w:t>
      </w:r>
      <w:r w:rsidR="00402EBA">
        <w:t xml:space="preserve"> </w:t>
      </w:r>
      <w:r w:rsidR="00F02804">
        <w:t xml:space="preserve">generation in CAISO, including imports, </w:t>
      </w:r>
      <w:r w:rsidR="00FE3A4A">
        <w:t>which</w:t>
      </w:r>
      <w:r w:rsidR="00F02804">
        <w:t xml:space="preserve"> were subjected to negative energy pricing for the period</w:t>
      </w:r>
      <w:r w:rsidR="00D606E4">
        <w:t xml:space="preserve"> and the associated cost of energy</w:t>
      </w:r>
      <w:r w:rsidR="00F02804">
        <w:t>.</w:t>
      </w:r>
    </w:p>
    <w:p w14:paraId="6879B3E8" w14:textId="01D7D843" w:rsidR="00E847FE" w:rsidRDefault="00E847FE" w:rsidP="000159F9">
      <w:r>
        <w:rPr>
          <w:noProof/>
        </w:rPr>
        <w:drawing>
          <wp:inline distT="0" distB="0" distL="0" distR="0" wp14:anchorId="3E81CB60" wp14:editId="4D4D36E4">
            <wp:extent cx="5943600" cy="3409950"/>
            <wp:effectExtent l="0" t="0" r="0" b="0"/>
            <wp:docPr id="272501230" name="Chart 1">
              <a:extLst xmlns:a="http://schemas.openxmlformats.org/drawingml/2006/main">
                <a:ext uri="{FF2B5EF4-FFF2-40B4-BE49-F238E27FC236}">
                  <a16:creationId xmlns:a16="http://schemas.microsoft.com/office/drawing/2014/main" id="{5DC8C727-4207-444C-8BCF-98E84DF75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586AF4" w14:textId="72601A4C" w:rsidR="000159F9" w:rsidRDefault="000159F9" w:rsidP="000159F9">
      <w:r w:rsidRPr="000E6B98">
        <w:t xml:space="preserve">During this period, </w:t>
      </w:r>
      <w:r w:rsidR="00402EBA">
        <w:t>CAISO</w:t>
      </w:r>
      <w:r w:rsidR="003262AC">
        <w:t xml:space="preserve"> </w:t>
      </w:r>
      <w:r w:rsidRPr="000E6B98">
        <w:t xml:space="preserve">has experienced an overall increase in renewable energy capacity, particularly </w:t>
      </w:r>
      <w:r w:rsidR="00106A1A">
        <w:t>solar</w:t>
      </w:r>
      <w:r w:rsidR="00BE5000">
        <w:t>,</w:t>
      </w:r>
      <w:r w:rsidR="00AD16DA">
        <w:t xml:space="preserve"> which coupled with generation from </w:t>
      </w:r>
      <w:r w:rsidRPr="000E6B98">
        <w:t xml:space="preserve">hydroelectric plants during the spring </w:t>
      </w:r>
      <w:r w:rsidR="00BE5000">
        <w:t>(</w:t>
      </w:r>
      <w:r w:rsidR="00AD16DA">
        <w:t>in moderate to above average hydro years</w:t>
      </w:r>
      <w:r w:rsidR="00BE5000">
        <w:t>)</w:t>
      </w:r>
      <w:r w:rsidR="00AD16DA">
        <w:t xml:space="preserve"> has produced a year-over-year increase in curtailment and negative prices</w:t>
      </w:r>
      <w:r w:rsidRPr="000E6B98">
        <w:t>. The surplus of energy during peak renewable generation months has outpaced demand, contributing to a greater number of negative</w:t>
      </w:r>
      <w:r w:rsidR="00E96714">
        <w:t>ly</w:t>
      </w:r>
      <w:r w:rsidRPr="000E6B98">
        <w:t xml:space="preserve"> pric</w:t>
      </w:r>
      <w:r w:rsidR="00E411D7">
        <w:t>ed</w:t>
      </w:r>
      <w:r w:rsidRPr="000E6B98">
        <w:t xml:space="preserve"> hours.</w:t>
      </w:r>
      <w:r w:rsidR="003018DF">
        <w:t xml:space="preserve"> When negative prices occur, suppliers, subject to their contractual agreement, can stop generating energy</w:t>
      </w:r>
      <w:r w:rsidR="00E411D7">
        <w:t xml:space="preserve"> or </w:t>
      </w:r>
      <w:r w:rsidR="003018DF">
        <w:t>curtail their output</w:t>
      </w:r>
      <w:r w:rsidR="003018DF">
        <w:rPr>
          <w:rStyle w:val="FootnoteReference"/>
        </w:rPr>
        <w:footnoteReference w:id="4"/>
      </w:r>
      <w:r w:rsidR="003018DF">
        <w:t xml:space="preserve"> or keep generating electricity and pay for </w:t>
      </w:r>
      <w:r w:rsidR="00BE5000">
        <w:t xml:space="preserve">the ability </w:t>
      </w:r>
      <w:r w:rsidR="001F60A4">
        <w:t>to generate</w:t>
      </w:r>
      <w:r w:rsidR="003018DF">
        <w:t xml:space="preserve">. </w:t>
      </w:r>
      <w:r w:rsidR="00E847FE">
        <w:t xml:space="preserve">Below is a summary of the total amount paid by suppliers to </w:t>
      </w:r>
      <w:r w:rsidR="005A4B29">
        <w:t>CAISO</w:t>
      </w:r>
      <w:r w:rsidR="00E847FE">
        <w:t xml:space="preserve"> and the total amount of energy supplied at negative prices. </w:t>
      </w:r>
    </w:p>
    <w:tbl>
      <w:tblPr>
        <w:tblStyle w:val="ListTable4-Accent1"/>
        <w:tblW w:w="0" w:type="auto"/>
        <w:tblLook w:val="04A0" w:firstRow="1" w:lastRow="0" w:firstColumn="1" w:lastColumn="0" w:noHBand="0" w:noVBand="1"/>
      </w:tblPr>
      <w:tblGrid>
        <w:gridCol w:w="1435"/>
        <w:gridCol w:w="2070"/>
        <w:gridCol w:w="2105"/>
        <w:gridCol w:w="1870"/>
        <w:gridCol w:w="1870"/>
      </w:tblGrid>
      <w:tr w:rsidR="00F8434F" w:rsidRPr="00F8434F" w14:paraId="3ADB2113" w14:textId="77777777" w:rsidTr="00491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67BDEE3D" w14:textId="77777777" w:rsidR="00F8434F" w:rsidRPr="000E16C9" w:rsidRDefault="00F8434F" w:rsidP="0049183A">
            <w:pPr>
              <w:jc w:val="center"/>
              <w:rPr>
                <w:sz w:val="22"/>
                <w:szCs w:val="22"/>
              </w:rPr>
            </w:pPr>
            <w:bookmarkStart w:id="0" w:name="_Hlk195956031"/>
            <w:r w:rsidRPr="00F8434F">
              <w:rPr>
                <w:sz w:val="22"/>
                <w:szCs w:val="22"/>
              </w:rPr>
              <w:t>Year</w:t>
            </w:r>
          </w:p>
        </w:tc>
        <w:tc>
          <w:tcPr>
            <w:tcW w:w="2070" w:type="dxa"/>
            <w:vAlign w:val="center"/>
          </w:tcPr>
          <w:p w14:paraId="7C698D19" w14:textId="77777777" w:rsidR="00F8434F" w:rsidRPr="000E16C9" w:rsidRDefault="00F8434F" w:rsidP="0049183A">
            <w:pPr>
              <w:jc w:val="center"/>
              <w:cnfStyle w:val="100000000000" w:firstRow="1" w:lastRow="0" w:firstColumn="0" w:lastColumn="0" w:oddVBand="0" w:evenVBand="0" w:oddHBand="0" w:evenHBand="0" w:firstRowFirstColumn="0" w:firstRowLastColumn="0" w:lastRowFirstColumn="0" w:lastRowLastColumn="0"/>
              <w:rPr>
                <w:sz w:val="22"/>
                <w:szCs w:val="22"/>
              </w:rPr>
            </w:pPr>
            <w:r w:rsidRPr="000E16C9">
              <w:rPr>
                <w:sz w:val="22"/>
                <w:szCs w:val="22"/>
              </w:rPr>
              <w:t>Supplier MWh</w:t>
            </w:r>
          </w:p>
        </w:tc>
        <w:tc>
          <w:tcPr>
            <w:tcW w:w="2105" w:type="dxa"/>
            <w:vAlign w:val="center"/>
          </w:tcPr>
          <w:p w14:paraId="7856EA58" w14:textId="1D0D2EC1" w:rsidR="00F8434F" w:rsidRPr="000E16C9" w:rsidRDefault="00F8434F" w:rsidP="0049183A">
            <w:pPr>
              <w:jc w:val="center"/>
              <w:cnfStyle w:val="100000000000" w:firstRow="1" w:lastRow="0" w:firstColumn="0" w:lastColumn="0" w:oddVBand="0" w:evenVBand="0" w:oddHBand="0" w:evenHBand="0" w:firstRowFirstColumn="0" w:firstRowLastColumn="0" w:lastRowFirstColumn="0" w:lastRowLastColumn="0"/>
              <w:rPr>
                <w:sz w:val="22"/>
                <w:szCs w:val="22"/>
              </w:rPr>
            </w:pPr>
            <w:r w:rsidRPr="000E16C9">
              <w:rPr>
                <w:sz w:val="22"/>
                <w:szCs w:val="22"/>
              </w:rPr>
              <w:t xml:space="preserve">Suppliers’ </w:t>
            </w:r>
            <w:r w:rsidRPr="00F8434F">
              <w:rPr>
                <w:sz w:val="22"/>
                <w:szCs w:val="22"/>
              </w:rPr>
              <w:t>P</w:t>
            </w:r>
            <w:r w:rsidRPr="000E16C9">
              <w:rPr>
                <w:sz w:val="22"/>
                <w:szCs w:val="22"/>
              </w:rPr>
              <w:t xml:space="preserve">ayment to </w:t>
            </w:r>
            <w:r w:rsidR="00B77514">
              <w:rPr>
                <w:sz w:val="22"/>
                <w:szCs w:val="22"/>
              </w:rPr>
              <w:t>CAISO</w:t>
            </w:r>
          </w:p>
        </w:tc>
        <w:tc>
          <w:tcPr>
            <w:tcW w:w="1870" w:type="dxa"/>
            <w:vAlign w:val="center"/>
          </w:tcPr>
          <w:p w14:paraId="39693252" w14:textId="64E42B37" w:rsidR="00F8434F" w:rsidRPr="000E16C9" w:rsidRDefault="00B77514" w:rsidP="0049183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 xml:space="preserve">Day </w:t>
            </w:r>
            <w:r w:rsidR="00BE5000">
              <w:rPr>
                <w:sz w:val="22"/>
                <w:szCs w:val="22"/>
              </w:rPr>
              <w:t>A</w:t>
            </w:r>
            <w:r>
              <w:rPr>
                <w:sz w:val="22"/>
                <w:szCs w:val="22"/>
              </w:rPr>
              <w:t xml:space="preserve">head </w:t>
            </w:r>
            <w:r w:rsidR="00F8434F">
              <w:rPr>
                <w:sz w:val="22"/>
                <w:szCs w:val="22"/>
              </w:rPr>
              <w:t>Hours Per Year Priced Between $0 to</w:t>
            </w:r>
            <w:r w:rsidR="00AD16DA">
              <w:rPr>
                <w:sz w:val="22"/>
                <w:szCs w:val="22"/>
              </w:rPr>
              <w:t xml:space="preserve"> Negative </w:t>
            </w:r>
            <w:r w:rsidR="00F8434F">
              <w:rPr>
                <w:sz w:val="22"/>
                <w:szCs w:val="22"/>
              </w:rPr>
              <w:t>$26/MWh</w:t>
            </w:r>
          </w:p>
        </w:tc>
        <w:tc>
          <w:tcPr>
            <w:tcW w:w="1870" w:type="dxa"/>
            <w:vAlign w:val="center"/>
          </w:tcPr>
          <w:p w14:paraId="13BC537A" w14:textId="58740ACA" w:rsidR="00F8434F" w:rsidRPr="000E16C9" w:rsidRDefault="00B77514" w:rsidP="0049183A">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 xml:space="preserve">Day </w:t>
            </w:r>
            <w:r w:rsidR="00BE5000">
              <w:rPr>
                <w:sz w:val="22"/>
                <w:szCs w:val="22"/>
              </w:rPr>
              <w:t>A</w:t>
            </w:r>
            <w:r>
              <w:rPr>
                <w:sz w:val="22"/>
                <w:szCs w:val="22"/>
              </w:rPr>
              <w:t xml:space="preserve">head </w:t>
            </w:r>
            <w:r w:rsidR="00F8434F">
              <w:rPr>
                <w:sz w:val="22"/>
                <w:szCs w:val="22"/>
              </w:rPr>
              <w:t xml:space="preserve">Hours </w:t>
            </w:r>
            <w:r w:rsidR="00E847FE">
              <w:rPr>
                <w:sz w:val="22"/>
                <w:szCs w:val="22"/>
              </w:rPr>
              <w:t>P</w:t>
            </w:r>
            <w:r w:rsidR="00F8434F">
              <w:rPr>
                <w:sz w:val="22"/>
                <w:szCs w:val="22"/>
              </w:rPr>
              <w:t xml:space="preserve">er </w:t>
            </w:r>
            <w:r w:rsidR="00E847FE">
              <w:rPr>
                <w:sz w:val="22"/>
                <w:szCs w:val="22"/>
              </w:rPr>
              <w:t>Y</w:t>
            </w:r>
            <w:r w:rsidR="00F8434F">
              <w:rPr>
                <w:sz w:val="22"/>
                <w:szCs w:val="22"/>
              </w:rPr>
              <w:t xml:space="preserve">ear Priced Less Than </w:t>
            </w:r>
            <w:r w:rsidR="00AD16DA">
              <w:rPr>
                <w:sz w:val="22"/>
                <w:szCs w:val="22"/>
              </w:rPr>
              <w:t>Negative</w:t>
            </w:r>
            <w:r w:rsidR="00BE5000">
              <w:rPr>
                <w:sz w:val="22"/>
                <w:szCs w:val="22"/>
              </w:rPr>
              <w:t xml:space="preserve"> </w:t>
            </w:r>
            <w:r w:rsidR="00F8434F">
              <w:rPr>
                <w:sz w:val="22"/>
                <w:szCs w:val="22"/>
              </w:rPr>
              <w:t>$26/MWh</w:t>
            </w:r>
          </w:p>
        </w:tc>
      </w:tr>
      <w:tr w:rsidR="00F8434F" w:rsidRPr="00E96714" w14:paraId="7CBC5665" w14:textId="77777777" w:rsidTr="000E1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213E72E9" w14:textId="77777777" w:rsidR="00F8434F" w:rsidRPr="000E16C9" w:rsidRDefault="00F8434F" w:rsidP="000E16C9">
            <w:pPr>
              <w:jc w:val="center"/>
              <w:rPr>
                <w:b w:val="0"/>
                <w:bCs w:val="0"/>
                <w:sz w:val="22"/>
                <w:szCs w:val="22"/>
              </w:rPr>
            </w:pPr>
            <w:r w:rsidRPr="000E16C9">
              <w:rPr>
                <w:b w:val="0"/>
                <w:bCs w:val="0"/>
                <w:sz w:val="22"/>
                <w:szCs w:val="22"/>
              </w:rPr>
              <w:t>2023</w:t>
            </w:r>
          </w:p>
        </w:tc>
        <w:tc>
          <w:tcPr>
            <w:tcW w:w="2070" w:type="dxa"/>
          </w:tcPr>
          <w:p w14:paraId="73CB215E"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3,700,265</w:t>
            </w:r>
          </w:p>
        </w:tc>
        <w:tc>
          <w:tcPr>
            <w:tcW w:w="2105" w:type="dxa"/>
          </w:tcPr>
          <w:p w14:paraId="52CC135A"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$23,277,923</w:t>
            </w:r>
          </w:p>
        </w:tc>
        <w:tc>
          <w:tcPr>
            <w:tcW w:w="1870" w:type="dxa"/>
          </w:tcPr>
          <w:p w14:paraId="7A0F3570"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188</w:t>
            </w:r>
          </w:p>
        </w:tc>
        <w:tc>
          <w:tcPr>
            <w:tcW w:w="1870" w:type="dxa"/>
          </w:tcPr>
          <w:p w14:paraId="34821069"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0</w:t>
            </w:r>
          </w:p>
        </w:tc>
      </w:tr>
      <w:tr w:rsidR="00F8434F" w:rsidRPr="00E96714" w14:paraId="3DC5993A" w14:textId="77777777" w:rsidTr="000E16C9">
        <w:tc>
          <w:tcPr>
            <w:cnfStyle w:val="001000000000" w:firstRow="0" w:lastRow="0" w:firstColumn="1" w:lastColumn="0" w:oddVBand="0" w:evenVBand="0" w:oddHBand="0" w:evenHBand="0" w:firstRowFirstColumn="0" w:firstRowLastColumn="0" w:lastRowFirstColumn="0" w:lastRowLastColumn="0"/>
            <w:tcW w:w="1435" w:type="dxa"/>
          </w:tcPr>
          <w:p w14:paraId="604B611E" w14:textId="77777777" w:rsidR="00F8434F" w:rsidRPr="000E16C9" w:rsidRDefault="00F8434F" w:rsidP="000E16C9">
            <w:pPr>
              <w:jc w:val="center"/>
              <w:rPr>
                <w:b w:val="0"/>
                <w:bCs w:val="0"/>
                <w:sz w:val="22"/>
                <w:szCs w:val="22"/>
              </w:rPr>
            </w:pPr>
            <w:r w:rsidRPr="000E16C9">
              <w:rPr>
                <w:b w:val="0"/>
                <w:bCs w:val="0"/>
                <w:sz w:val="22"/>
                <w:szCs w:val="22"/>
              </w:rPr>
              <w:t>2024</w:t>
            </w:r>
          </w:p>
        </w:tc>
        <w:tc>
          <w:tcPr>
            <w:tcW w:w="2070" w:type="dxa"/>
          </w:tcPr>
          <w:p w14:paraId="46D9A2A0"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13,347,076</w:t>
            </w:r>
          </w:p>
        </w:tc>
        <w:tc>
          <w:tcPr>
            <w:tcW w:w="2105" w:type="dxa"/>
          </w:tcPr>
          <w:p w14:paraId="2640AF17"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$159,883,667</w:t>
            </w:r>
          </w:p>
        </w:tc>
        <w:tc>
          <w:tcPr>
            <w:tcW w:w="1870" w:type="dxa"/>
          </w:tcPr>
          <w:p w14:paraId="1A89CC77"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575</w:t>
            </w:r>
          </w:p>
        </w:tc>
        <w:tc>
          <w:tcPr>
            <w:tcW w:w="1870" w:type="dxa"/>
          </w:tcPr>
          <w:p w14:paraId="3375B32B"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sz w:val="22"/>
                <w:szCs w:val="22"/>
              </w:rPr>
            </w:pPr>
            <w:r w:rsidRPr="000E16C9">
              <w:rPr>
                <w:rFonts w:cs="Arial"/>
                <w:color w:val="000000"/>
                <w:sz w:val="22"/>
                <w:szCs w:val="22"/>
              </w:rPr>
              <w:t>62</w:t>
            </w:r>
          </w:p>
        </w:tc>
      </w:tr>
      <w:tr w:rsidR="00F8434F" w:rsidRPr="00E96714" w14:paraId="4EBBE969" w14:textId="77777777" w:rsidTr="000E1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26ED54E3" w14:textId="77777777" w:rsidR="00F8434F" w:rsidRPr="000E16C9" w:rsidRDefault="00F8434F" w:rsidP="000E16C9">
            <w:pPr>
              <w:jc w:val="center"/>
              <w:rPr>
                <w:b w:val="0"/>
                <w:bCs w:val="0"/>
                <w:sz w:val="22"/>
                <w:szCs w:val="22"/>
              </w:rPr>
            </w:pPr>
            <w:r w:rsidRPr="000E16C9">
              <w:rPr>
                <w:b w:val="0"/>
                <w:bCs w:val="0"/>
                <w:sz w:val="22"/>
                <w:szCs w:val="22"/>
              </w:rPr>
              <w:t>Q1</w:t>
            </w:r>
            <w:r>
              <w:rPr>
                <w:sz w:val="22"/>
                <w:szCs w:val="22"/>
              </w:rPr>
              <w:t xml:space="preserve"> </w:t>
            </w:r>
            <w:r w:rsidRPr="000E16C9">
              <w:rPr>
                <w:b w:val="0"/>
                <w:bCs w:val="0"/>
                <w:sz w:val="22"/>
                <w:szCs w:val="22"/>
              </w:rPr>
              <w:t>2025</w:t>
            </w:r>
          </w:p>
        </w:tc>
        <w:tc>
          <w:tcPr>
            <w:tcW w:w="2070" w:type="dxa"/>
          </w:tcPr>
          <w:p w14:paraId="79DE5244"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3,799,606</w:t>
            </w:r>
          </w:p>
        </w:tc>
        <w:tc>
          <w:tcPr>
            <w:tcW w:w="2105" w:type="dxa"/>
          </w:tcPr>
          <w:p w14:paraId="6106F7AF"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$42,651,353</w:t>
            </w:r>
          </w:p>
        </w:tc>
        <w:tc>
          <w:tcPr>
            <w:tcW w:w="1870" w:type="dxa"/>
          </w:tcPr>
          <w:p w14:paraId="6358CD83"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161</w:t>
            </w:r>
          </w:p>
        </w:tc>
        <w:tc>
          <w:tcPr>
            <w:tcW w:w="1870" w:type="dxa"/>
          </w:tcPr>
          <w:p w14:paraId="60D10BBB" w14:textId="77777777" w:rsidR="00F8434F" w:rsidRPr="000E16C9" w:rsidRDefault="00F8434F" w:rsidP="000E16C9">
            <w:pPr>
              <w:jc w:val="center"/>
              <w:cnfStyle w:val="000000100000" w:firstRow="0" w:lastRow="0" w:firstColumn="0" w:lastColumn="0" w:oddVBand="0" w:evenVBand="0" w:oddHBand="1" w:evenHBand="0" w:firstRowFirstColumn="0" w:firstRowLastColumn="0" w:lastRowFirstColumn="0" w:lastRowLastColumn="0"/>
              <w:rPr>
                <w:sz w:val="22"/>
                <w:szCs w:val="22"/>
              </w:rPr>
            </w:pPr>
            <w:r w:rsidRPr="000E16C9">
              <w:rPr>
                <w:rFonts w:cs="Arial"/>
                <w:color w:val="000000"/>
                <w:sz w:val="22"/>
                <w:szCs w:val="22"/>
              </w:rPr>
              <w:t>22</w:t>
            </w:r>
          </w:p>
        </w:tc>
      </w:tr>
      <w:tr w:rsidR="00F8434F" w:rsidRPr="00F8434F" w14:paraId="4B8D3F84" w14:textId="77777777" w:rsidTr="000E16C9">
        <w:tc>
          <w:tcPr>
            <w:cnfStyle w:val="001000000000" w:firstRow="0" w:lastRow="0" w:firstColumn="1" w:lastColumn="0" w:oddVBand="0" w:evenVBand="0" w:oddHBand="0" w:evenHBand="0" w:firstRowFirstColumn="0" w:firstRowLastColumn="0" w:lastRowFirstColumn="0" w:lastRowLastColumn="0"/>
            <w:tcW w:w="1435" w:type="dxa"/>
          </w:tcPr>
          <w:p w14:paraId="19F6513D" w14:textId="77777777" w:rsidR="00F8434F" w:rsidRPr="000E16C9" w:rsidRDefault="00F8434F" w:rsidP="000E16C9">
            <w:pPr>
              <w:jc w:val="center"/>
              <w:rPr>
                <w:sz w:val="22"/>
                <w:szCs w:val="22"/>
              </w:rPr>
            </w:pPr>
            <w:r w:rsidRPr="000E16C9">
              <w:rPr>
                <w:sz w:val="22"/>
                <w:szCs w:val="22"/>
              </w:rPr>
              <w:t>Total</w:t>
            </w:r>
          </w:p>
        </w:tc>
        <w:tc>
          <w:tcPr>
            <w:tcW w:w="2070" w:type="dxa"/>
          </w:tcPr>
          <w:p w14:paraId="199760D0"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21,560,547</w:t>
            </w:r>
          </w:p>
        </w:tc>
        <w:tc>
          <w:tcPr>
            <w:tcW w:w="2105" w:type="dxa"/>
          </w:tcPr>
          <w:p w14:paraId="5F69C242"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$226,606,744</w:t>
            </w:r>
          </w:p>
        </w:tc>
        <w:tc>
          <w:tcPr>
            <w:tcW w:w="1870" w:type="dxa"/>
          </w:tcPr>
          <w:p w14:paraId="774E4EBE"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963</w:t>
            </w:r>
          </w:p>
        </w:tc>
        <w:tc>
          <w:tcPr>
            <w:tcW w:w="1870" w:type="dxa"/>
          </w:tcPr>
          <w:p w14:paraId="122FB707" w14:textId="77777777" w:rsidR="00F8434F" w:rsidRPr="000E16C9" w:rsidRDefault="00F8434F" w:rsidP="000E16C9">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0E16C9">
              <w:rPr>
                <w:b/>
                <w:bCs/>
                <w:sz w:val="22"/>
                <w:szCs w:val="22"/>
              </w:rPr>
              <w:t>84</w:t>
            </w:r>
          </w:p>
        </w:tc>
      </w:tr>
      <w:bookmarkEnd w:id="0"/>
    </w:tbl>
    <w:p w14:paraId="30852CCB" w14:textId="77777777" w:rsidR="00F8434F" w:rsidRDefault="00F8434F" w:rsidP="000159F9"/>
    <w:tbl>
      <w:tblPr>
        <w:tblW w:w="9360" w:type="dxa"/>
        <w:tblLook w:val="04A0" w:firstRow="1" w:lastRow="0" w:firstColumn="1" w:lastColumn="0" w:noHBand="0" w:noVBand="1"/>
      </w:tblPr>
      <w:tblGrid>
        <w:gridCol w:w="1219"/>
        <w:gridCol w:w="3492"/>
        <w:gridCol w:w="2309"/>
        <w:gridCol w:w="2340"/>
      </w:tblGrid>
      <w:tr w:rsidR="007C2FA7" w:rsidRPr="007C2FA7" w14:paraId="4C5D274F" w14:textId="77777777" w:rsidTr="00CD7658">
        <w:trPr>
          <w:trHeight w:val="256"/>
        </w:trPr>
        <w:tc>
          <w:tcPr>
            <w:tcW w:w="1219" w:type="dxa"/>
            <w:tcBorders>
              <w:top w:val="nil"/>
              <w:left w:val="nil"/>
              <w:bottom w:val="single" w:sz="4" w:space="0" w:color="8EA9DB"/>
              <w:right w:val="nil"/>
            </w:tcBorders>
            <w:shd w:val="clear" w:color="D9E1F2" w:fill="D9E1F2"/>
            <w:noWrap/>
            <w:vAlign w:val="bottom"/>
            <w:hideMark/>
          </w:tcPr>
          <w:p w14:paraId="68099DA7"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Row Labels</w:t>
            </w:r>
          </w:p>
        </w:tc>
        <w:tc>
          <w:tcPr>
            <w:tcW w:w="3492" w:type="dxa"/>
            <w:tcBorders>
              <w:top w:val="nil"/>
              <w:left w:val="nil"/>
              <w:bottom w:val="single" w:sz="4" w:space="0" w:color="8EA9DB"/>
              <w:right w:val="nil"/>
            </w:tcBorders>
            <w:shd w:val="clear" w:color="D9E1F2" w:fill="D9E1F2"/>
            <w:noWrap/>
            <w:vAlign w:val="bottom"/>
            <w:hideMark/>
          </w:tcPr>
          <w:p w14:paraId="53F1EE00"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Generation Subjected to Negative Pricing</w:t>
            </w:r>
          </w:p>
        </w:tc>
        <w:tc>
          <w:tcPr>
            <w:tcW w:w="2309" w:type="dxa"/>
            <w:tcBorders>
              <w:top w:val="nil"/>
              <w:left w:val="nil"/>
              <w:bottom w:val="single" w:sz="4" w:space="0" w:color="8EA9DB"/>
              <w:right w:val="nil"/>
            </w:tcBorders>
            <w:shd w:val="clear" w:color="D9E1F2" w:fill="D9E1F2"/>
            <w:noWrap/>
            <w:vAlign w:val="bottom"/>
            <w:hideMark/>
          </w:tcPr>
          <w:p w14:paraId="03446A25" w14:textId="60E38DB9"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 xml:space="preserve">Total Hours Priced $0 to </w:t>
            </w:r>
            <w:r w:rsidR="00AD16DA">
              <w:rPr>
                <w:rFonts w:ascii="Arial" w:eastAsia="Times New Roman" w:hAnsi="Arial" w:cs="Arial"/>
                <w:b/>
                <w:bCs/>
                <w:color w:val="000000"/>
                <w:kern w:val="0"/>
                <w:sz w:val="20"/>
                <w:szCs w:val="20"/>
                <w14:ligatures w14:val="none"/>
              </w:rPr>
              <w:t xml:space="preserve">Negative </w:t>
            </w:r>
            <w:r w:rsidRPr="007C2FA7">
              <w:rPr>
                <w:rFonts w:ascii="Arial" w:eastAsia="Times New Roman" w:hAnsi="Arial" w:cs="Arial"/>
                <w:b/>
                <w:bCs/>
                <w:color w:val="000000"/>
                <w:kern w:val="0"/>
                <w:sz w:val="20"/>
                <w:szCs w:val="20"/>
                <w14:ligatures w14:val="none"/>
              </w:rPr>
              <w:t>$26/MWh</w:t>
            </w:r>
          </w:p>
        </w:tc>
        <w:tc>
          <w:tcPr>
            <w:tcW w:w="2340" w:type="dxa"/>
            <w:tcBorders>
              <w:top w:val="nil"/>
              <w:left w:val="nil"/>
              <w:bottom w:val="single" w:sz="4" w:space="0" w:color="8EA9DB"/>
              <w:right w:val="nil"/>
            </w:tcBorders>
            <w:shd w:val="clear" w:color="D9E1F2" w:fill="D9E1F2"/>
            <w:noWrap/>
            <w:vAlign w:val="bottom"/>
            <w:hideMark/>
          </w:tcPr>
          <w:p w14:paraId="72A8AF62" w14:textId="7AEAED4C"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 xml:space="preserve">Total Hours Priced </w:t>
            </w:r>
            <w:r w:rsidR="00EE69BD" w:rsidRPr="007C2FA7">
              <w:rPr>
                <w:rFonts w:ascii="Arial" w:eastAsia="Times New Roman" w:hAnsi="Arial" w:cs="Arial"/>
                <w:b/>
                <w:bCs/>
                <w:color w:val="000000"/>
                <w:kern w:val="0"/>
                <w:sz w:val="20"/>
                <w:szCs w:val="20"/>
                <w14:ligatures w14:val="none"/>
              </w:rPr>
              <w:t xml:space="preserve">&lt; </w:t>
            </w:r>
            <w:r w:rsidR="00EE69BD">
              <w:rPr>
                <w:rFonts w:ascii="Arial" w:eastAsia="Times New Roman" w:hAnsi="Arial" w:cs="Arial"/>
                <w:b/>
                <w:bCs/>
                <w:color w:val="000000"/>
                <w:kern w:val="0"/>
                <w:sz w:val="20"/>
                <w:szCs w:val="20"/>
                <w14:ligatures w14:val="none"/>
              </w:rPr>
              <w:t>Negative</w:t>
            </w:r>
            <w:r w:rsidR="00AD16DA">
              <w:rPr>
                <w:rFonts w:ascii="Arial" w:eastAsia="Times New Roman" w:hAnsi="Arial" w:cs="Arial"/>
                <w:b/>
                <w:bCs/>
                <w:color w:val="000000"/>
                <w:kern w:val="0"/>
                <w:sz w:val="20"/>
                <w:szCs w:val="20"/>
                <w14:ligatures w14:val="none"/>
              </w:rPr>
              <w:t xml:space="preserve"> </w:t>
            </w:r>
            <w:r w:rsidRPr="007C2FA7">
              <w:rPr>
                <w:rFonts w:ascii="Arial" w:eastAsia="Times New Roman" w:hAnsi="Arial" w:cs="Arial"/>
                <w:b/>
                <w:bCs/>
                <w:color w:val="000000"/>
                <w:kern w:val="0"/>
                <w:sz w:val="20"/>
                <w:szCs w:val="20"/>
                <w14:ligatures w14:val="none"/>
              </w:rPr>
              <w:t>$26/MWh</w:t>
            </w:r>
          </w:p>
        </w:tc>
      </w:tr>
      <w:tr w:rsidR="007C2FA7" w:rsidRPr="007C2FA7" w14:paraId="71B22892" w14:textId="77777777" w:rsidTr="00CD7658">
        <w:trPr>
          <w:trHeight w:val="256"/>
        </w:trPr>
        <w:tc>
          <w:tcPr>
            <w:tcW w:w="1219" w:type="dxa"/>
            <w:tcBorders>
              <w:top w:val="nil"/>
              <w:left w:val="nil"/>
              <w:bottom w:val="single" w:sz="4" w:space="0" w:color="8EA9DB"/>
              <w:right w:val="nil"/>
            </w:tcBorders>
            <w:shd w:val="clear" w:color="auto" w:fill="auto"/>
            <w:noWrap/>
            <w:vAlign w:val="bottom"/>
            <w:hideMark/>
          </w:tcPr>
          <w:p w14:paraId="2CB9D10D"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2022</w:t>
            </w:r>
          </w:p>
        </w:tc>
        <w:tc>
          <w:tcPr>
            <w:tcW w:w="3492" w:type="dxa"/>
            <w:tcBorders>
              <w:top w:val="nil"/>
              <w:left w:val="nil"/>
              <w:bottom w:val="single" w:sz="4" w:space="0" w:color="8EA9DB"/>
              <w:right w:val="nil"/>
            </w:tcBorders>
            <w:shd w:val="clear" w:color="auto" w:fill="auto"/>
            <w:noWrap/>
            <w:vAlign w:val="bottom"/>
            <w:hideMark/>
          </w:tcPr>
          <w:p w14:paraId="6F95A0E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713,600</w:t>
            </w:r>
          </w:p>
        </w:tc>
        <w:tc>
          <w:tcPr>
            <w:tcW w:w="2309" w:type="dxa"/>
            <w:tcBorders>
              <w:top w:val="nil"/>
              <w:left w:val="nil"/>
              <w:bottom w:val="single" w:sz="4" w:space="0" w:color="8EA9DB"/>
              <w:right w:val="nil"/>
            </w:tcBorders>
            <w:shd w:val="clear" w:color="auto" w:fill="auto"/>
            <w:noWrap/>
            <w:vAlign w:val="bottom"/>
            <w:hideMark/>
          </w:tcPr>
          <w:p w14:paraId="5A4AE58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39</w:t>
            </w:r>
          </w:p>
        </w:tc>
        <w:tc>
          <w:tcPr>
            <w:tcW w:w="2340" w:type="dxa"/>
            <w:tcBorders>
              <w:top w:val="nil"/>
              <w:left w:val="nil"/>
              <w:bottom w:val="single" w:sz="4" w:space="0" w:color="8EA9DB"/>
              <w:right w:val="nil"/>
            </w:tcBorders>
            <w:shd w:val="clear" w:color="auto" w:fill="auto"/>
            <w:noWrap/>
            <w:vAlign w:val="bottom"/>
            <w:hideMark/>
          </w:tcPr>
          <w:p w14:paraId="065478FD"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11D3B4DD" w14:textId="77777777" w:rsidTr="00CD7658">
        <w:trPr>
          <w:trHeight w:val="256"/>
        </w:trPr>
        <w:tc>
          <w:tcPr>
            <w:tcW w:w="1219" w:type="dxa"/>
            <w:tcBorders>
              <w:top w:val="nil"/>
              <w:left w:val="nil"/>
              <w:bottom w:val="nil"/>
              <w:right w:val="nil"/>
            </w:tcBorders>
            <w:shd w:val="clear" w:color="auto" w:fill="auto"/>
            <w:noWrap/>
            <w:vAlign w:val="bottom"/>
            <w:hideMark/>
          </w:tcPr>
          <w:p w14:paraId="5ACB5EC0"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Qtr1</w:t>
            </w:r>
          </w:p>
        </w:tc>
        <w:tc>
          <w:tcPr>
            <w:tcW w:w="3492" w:type="dxa"/>
            <w:tcBorders>
              <w:top w:val="nil"/>
              <w:left w:val="nil"/>
              <w:bottom w:val="nil"/>
              <w:right w:val="nil"/>
            </w:tcBorders>
            <w:shd w:val="clear" w:color="auto" w:fill="auto"/>
            <w:noWrap/>
            <w:vAlign w:val="bottom"/>
            <w:hideMark/>
          </w:tcPr>
          <w:p w14:paraId="46FED360"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227,795</w:t>
            </w:r>
          </w:p>
        </w:tc>
        <w:tc>
          <w:tcPr>
            <w:tcW w:w="2309" w:type="dxa"/>
            <w:tcBorders>
              <w:top w:val="nil"/>
              <w:left w:val="nil"/>
              <w:bottom w:val="nil"/>
              <w:right w:val="nil"/>
            </w:tcBorders>
            <w:shd w:val="clear" w:color="auto" w:fill="auto"/>
            <w:noWrap/>
            <w:vAlign w:val="bottom"/>
            <w:hideMark/>
          </w:tcPr>
          <w:p w14:paraId="38FFEBBB"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14</w:t>
            </w:r>
          </w:p>
        </w:tc>
        <w:tc>
          <w:tcPr>
            <w:tcW w:w="2340" w:type="dxa"/>
            <w:tcBorders>
              <w:top w:val="nil"/>
              <w:left w:val="nil"/>
              <w:bottom w:val="nil"/>
              <w:right w:val="nil"/>
            </w:tcBorders>
            <w:shd w:val="clear" w:color="auto" w:fill="auto"/>
            <w:noWrap/>
            <w:vAlign w:val="bottom"/>
            <w:hideMark/>
          </w:tcPr>
          <w:p w14:paraId="4D034750"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0BB3137D" w14:textId="77777777" w:rsidTr="00CD7658">
        <w:trPr>
          <w:trHeight w:val="256"/>
        </w:trPr>
        <w:tc>
          <w:tcPr>
            <w:tcW w:w="1219" w:type="dxa"/>
            <w:tcBorders>
              <w:top w:val="nil"/>
              <w:left w:val="nil"/>
              <w:bottom w:val="nil"/>
              <w:right w:val="nil"/>
            </w:tcBorders>
            <w:shd w:val="clear" w:color="auto" w:fill="auto"/>
            <w:noWrap/>
            <w:vAlign w:val="bottom"/>
            <w:hideMark/>
          </w:tcPr>
          <w:p w14:paraId="01CE2BE0"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Qtr2</w:t>
            </w:r>
          </w:p>
        </w:tc>
        <w:tc>
          <w:tcPr>
            <w:tcW w:w="3492" w:type="dxa"/>
            <w:tcBorders>
              <w:top w:val="nil"/>
              <w:left w:val="nil"/>
              <w:bottom w:val="nil"/>
              <w:right w:val="nil"/>
            </w:tcBorders>
            <w:shd w:val="clear" w:color="auto" w:fill="auto"/>
            <w:noWrap/>
            <w:vAlign w:val="bottom"/>
            <w:hideMark/>
          </w:tcPr>
          <w:p w14:paraId="5D75DC95"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485,805</w:t>
            </w:r>
          </w:p>
        </w:tc>
        <w:tc>
          <w:tcPr>
            <w:tcW w:w="2309" w:type="dxa"/>
            <w:tcBorders>
              <w:top w:val="nil"/>
              <w:left w:val="nil"/>
              <w:bottom w:val="nil"/>
              <w:right w:val="nil"/>
            </w:tcBorders>
            <w:shd w:val="clear" w:color="auto" w:fill="auto"/>
            <w:noWrap/>
            <w:vAlign w:val="bottom"/>
            <w:hideMark/>
          </w:tcPr>
          <w:p w14:paraId="0D9C206B"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25</w:t>
            </w:r>
          </w:p>
        </w:tc>
        <w:tc>
          <w:tcPr>
            <w:tcW w:w="2340" w:type="dxa"/>
            <w:tcBorders>
              <w:top w:val="nil"/>
              <w:left w:val="nil"/>
              <w:bottom w:val="nil"/>
              <w:right w:val="nil"/>
            </w:tcBorders>
            <w:shd w:val="clear" w:color="auto" w:fill="auto"/>
            <w:noWrap/>
            <w:vAlign w:val="bottom"/>
            <w:hideMark/>
          </w:tcPr>
          <w:p w14:paraId="39945CA6"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28E85DB5" w14:textId="77777777" w:rsidTr="00CD7658">
        <w:trPr>
          <w:trHeight w:val="256"/>
        </w:trPr>
        <w:tc>
          <w:tcPr>
            <w:tcW w:w="1219" w:type="dxa"/>
            <w:tcBorders>
              <w:top w:val="nil"/>
              <w:left w:val="nil"/>
              <w:bottom w:val="nil"/>
              <w:right w:val="nil"/>
            </w:tcBorders>
            <w:shd w:val="clear" w:color="auto" w:fill="auto"/>
            <w:noWrap/>
            <w:vAlign w:val="bottom"/>
            <w:hideMark/>
          </w:tcPr>
          <w:p w14:paraId="6FFF6B50"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Qtr3</w:t>
            </w:r>
          </w:p>
        </w:tc>
        <w:tc>
          <w:tcPr>
            <w:tcW w:w="3492" w:type="dxa"/>
            <w:tcBorders>
              <w:top w:val="nil"/>
              <w:left w:val="nil"/>
              <w:bottom w:val="nil"/>
              <w:right w:val="nil"/>
            </w:tcBorders>
            <w:shd w:val="clear" w:color="auto" w:fill="auto"/>
            <w:noWrap/>
            <w:vAlign w:val="bottom"/>
            <w:hideMark/>
          </w:tcPr>
          <w:p w14:paraId="34C4D227"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09" w:type="dxa"/>
            <w:tcBorders>
              <w:top w:val="nil"/>
              <w:left w:val="nil"/>
              <w:bottom w:val="nil"/>
              <w:right w:val="nil"/>
            </w:tcBorders>
            <w:shd w:val="clear" w:color="auto" w:fill="auto"/>
            <w:noWrap/>
            <w:vAlign w:val="bottom"/>
            <w:hideMark/>
          </w:tcPr>
          <w:p w14:paraId="7DBEDFD5"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40" w:type="dxa"/>
            <w:tcBorders>
              <w:top w:val="nil"/>
              <w:left w:val="nil"/>
              <w:bottom w:val="nil"/>
              <w:right w:val="nil"/>
            </w:tcBorders>
            <w:shd w:val="clear" w:color="auto" w:fill="auto"/>
            <w:noWrap/>
            <w:vAlign w:val="bottom"/>
            <w:hideMark/>
          </w:tcPr>
          <w:p w14:paraId="1E9DDB07"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2D6F4C0F" w14:textId="77777777" w:rsidTr="00CD7658">
        <w:trPr>
          <w:trHeight w:val="256"/>
        </w:trPr>
        <w:tc>
          <w:tcPr>
            <w:tcW w:w="1219" w:type="dxa"/>
            <w:tcBorders>
              <w:top w:val="nil"/>
              <w:left w:val="nil"/>
              <w:bottom w:val="nil"/>
              <w:right w:val="nil"/>
            </w:tcBorders>
            <w:shd w:val="clear" w:color="auto" w:fill="auto"/>
            <w:noWrap/>
            <w:vAlign w:val="bottom"/>
            <w:hideMark/>
          </w:tcPr>
          <w:p w14:paraId="755FAB23"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Qtr4</w:t>
            </w:r>
          </w:p>
        </w:tc>
        <w:tc>
          <w:tcPr>
            <w:tcW w:w="3492" w:type="dxa"/>
            <w:tcBorders>
              <w:top w:val="nil"/>
              <w:left w:val="nil"/>
              <w:bottom w:val="nil"/>
              <w:right w:val="nil"/>
            </w:tcBorders>
            <w:shd w:val="clear" w:color="auto" w:fill="auto"/>
            <w:noWrap/>
            <w:vAlign w:val="bottom"/>
            <w:hideMark/>
          </w:tcPr>
          <w:p w14:paraId="72355B5E"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09" w:type="dxa"/>
            <w:tcBorders>
              <w:top w:val="nil"/>
              <w:left w:val="nil"/>
              <w:bottom w:val="nil"/>
              <w:right w:val="nil"/>
            </w:tcBorders>
            <w:shd w:val="clear" w:color="auto" w:fill="auto"/>
            <w:noWrap/>
            <w:vAlign w:val="bottom"/>
            <w:hideMark/>
          </w:tcPr>
          <w:p w14:paraId="03FF1685"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40" w:type="dxa"/>
            <w:tcBorders>
              <w:top w:val="nil"/>
              <w:left w:val="nil"/>
              <w:bottom w:val="nil"/>
              <w:right w:val="nil"/>
            </w:tcBorders>
            <w:shd w:val="clear" w:color="auto" w:fill="auto"/>
            <w:noWrap/>
            <w:vAlign w:val="bottom"/>
            <w:hideMark/>
          </w:tcPr>
          <w:p w14:paraId="6C0F990C"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6E5A052B" w14:textId="77777777" w:rsidTr="00CD7658">
        <w:trPr>
          <w:trHeight w:val="256"/>
        </w:trPr>
        <w:tc>
          <w:tcPr>
            <w:tcW w:w="1219" w:type="dxa"/>
            <w:tcBorders>
              <w:top w:val="nil"/>
              <w:left w:val="nil"/>
              <w:bottom w:val="single" w:sz="4" w:space="0" w:color="8EA9DB"/>
              <w:right w:val="nil"/>
            </w:tcBorders>
            <w:shd w:val="clear" w:color="auto" w:fill="auto"/>
            <w:noWrap/>
            <w:vAlign w:val="bottom"/>
            <w:hideMark/>
          </w:tcPr>
          <w:p w14:paraId="21C5A81A"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2023</w:t>
            </w:r>
          </w:p>
        </w:tc>
        <w:tc>
          <w:tcPr>
            <w:tcW w:w="3492" w:type="dxa"/>
            <w:tcBorders>
              <w:top w:val="nil"/>
              <w:left w:val="nil"/>
              <w:bottom w:val="single" w:sz="4" w:space="0" w:color="8EA9DB"/>
              <w:right w:val="nil"/>
            </w:tcBorders>
            <w:shd w:val="clear" w:color="auto" w:fill="auto"/>
            <w:noWrap/>
            <w:vAlign w:val="bottom"/>
            <w:hideMark/>
          </w:tcPr>
          <w:p w14:paraId="36CEC051"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3,700,265</w:t>
            </w:r>
          </w:p>
        </w:tc>
        <w:tc>
          <w:tcPr>
            <w:tcW w:w="2309" w:type="dxa"/>
            <w:tcBorders>
              <w:top w:val="nil"/>
              <w:left w:val="nil"/>
              <w:bottom w:val="single" w:sz="4" w:space="0" w:color="8EA9DB"/>
              <w:right w:val="nil"/>
            </w:tcBorders>
            <w:shd w:val="clear" w:color="auto" w:fill="auto"/>
            <w:noWrap/>
            <w:vAlign w:val="bottom"/>
            <w:hideMark/>
          </w:tcPr>
          <w:p w14:paraId="34B4B93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188</w:t>
            </w:r>
          </w:p>
        </w:tc>
        <w:tc>
          <w:tcPr>
            <w:tcW w:w="2340" w:type="dxa"/>
            <w:tcBorders>
              <w:top w:val="nil"/>
              <w:left w:val="nil"/>
              <w:bottom w:val="single" w:sz="4" w:space="0" w:color="8EA9DB"/>
              <w:right w:val="nil"/>
            </w:tcBorders>
            <w:shd w:val="clear" w:color="auto" w:fill="auto"/>
            <w:noWrap/>
            <w:vAlign w:val="bottom"/>
            <w:hideMark/>
          </w:tcPr>
          <w:p w14:paraId="1432725D"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2A75D68B" w14:textId="77777777" w:rsidTr="00CD7658">
        <w:trPr>
          <w:trHeight w:val="256"/>
        </w:trPr>
        <w:tc>
          <w:tcPr>
            <w:tcW w:w="1219" w:type="dxa"/>
            <w:tcBorders>
              <w:top w:val="nil"/>
              <w:left w:val="nil"/>
              <w:bottom w:val="nil"/>
              <w:right w:val="nil"/>
            </w:tcBorders>
            <w:shd w:val="clear" w:color="auto" w:fill="auto"/>
            <w:noWrap/>
            <w:vAlign w:val="bottom"/>
            <w:hideMark/>
          </w:tcPr>
          <w:p w14:paraId="0E8522FB"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Qtr1</w:t>
            </w:r>
          </w:p>
        </w:tc>
        <w:tc>
          <w:tcPr>
            <w:tcW w:w="3492" w:type="dxa"/>
            <w:tcBorders>
              <w:top w:val="nil"/>
              <w:left w:val="nil"/>
              <w:bottom w:val="nil"/>
              <w:right w:val="nil"/>
            </w:tcBorders>
            <w:shd w:val="clear" w:color="auto" w:fill="auto"/>
            <w:noWrap/>
            <w:vAlign w:val="bottom"/>
            <w:hideMark/>
          </w:tcPr>
          <w:p w14:paraId="249BC171"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234,450</w:t>
            </w:r>
          </w:p>
        </w:tc>
        <w:tc>
          <w:tcPr>
            <w:tcW w:w="2309" w:type="dxa"/>
            <w:tcBorders>
              <w:top w:val="nil"/>
              <w:left w:val="nil"/>
              <w:bottom w:val="nil"/>
              <w:right w:val="nil"/>
            </w:tcBorders>
            <w:shd w:val="clear" w:color="auto" w:fill="auto"/>
            <w:noWrap/>
            <w:vAlign w:val="bottom"/>
            <w:hideMark/>
          </w:tcPr>
          <w:p w14:paraId="0658BFC1"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14</w:t>
            </w:r>
          </w:p>
        </w:tc>
        <w:tc>
          <w:tcPr>
            <w:tcW w:w="2340" w:type="dxa"/>
            <w:tcBorders>
              <w:top w:val="nil"/>
              <w:left w:val="nil"/>
              <w:bottom w:val="nil"/>
              <w:right w:val="nil"/>
            </w:tcBorders>
            <w:shd w:val="clear" w:color="auto" w:fill="auto"/>
            <w:noWrap/>
            <w:vAlign w:val="bottom"/>
            <w:hideMark/>
          </w:tcPr>
          <w:p w14:paraId="15C10F54"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06047320" w14:textId="77777777" w:rsidTr="00CD7658">
        <w:trPr>
          <w:trHeight w:val="256"/>
        </w:trPr>
        <w:tc>
          <w:tcPr>
            <w:tcW w:w="1219" w:type="dxa"/>
            <w:tcBorders>
              <w:top w:val="nil"/>
              <w:left w:val="nil"/>
              <w:bottom w:val="nil"/>
              <w:right w:val="nil"/>
            </w:tcBorders>
            <w:shd w:val="clear" w:color="auto" w:fill="auto"/>
            <w:noWrap/>
            <w:vAlign w:val="bottom"/>
            <w:hideMark/>
          </w:tcPr>
          <w:p w14:paraId="05B461D9"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Qtr2</w:t>
            </w:r>
          </w:p>
        </w:tc>
        <w:tc>
          <w:tcPr>
            <w:tcW w:w="3492" w:type="dxa"/>
            <w:tcBorders>
              <w:top w:val="nil"/>
              <w:left w:val="nil"/>
              <w:bottom w:val="nil"/>
              <w:right w:val="nil"/>
            </w:tcBorders>
            <w:shd w:val="clear" w:color="auto" w:fill="auto"/>
            <w:noWrap/>
            <w:vAlign w:val="bottom"/>
            <w:hideMark/>
          </w:tcPr>
          <w:p w14:paraId="741A8304"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3,405,095</w:t>
            </w:r>
          </w:p>
        </w:tc>
        <w:tc>
          <w:tcPr>
            <w:tcW w:w="2309" w:type="dxa"/>
            <w:tcBorders>
              <w:top w:val="nil"/>
              <w:left w:val="nil"/>
              <w:bottom w:val="nil"/>
              <w:right w:val="nil"/>
            </w:tcBorders>
            <w:shd w:val="clear" w:color="auto" w:fill="auto"/>
            <w:noWrap/>
            <w:vAlign w:val="bottom"/>
            <w:hideMark/>
          </w:tcPr>
          <w:p w14:paraId="382131B5"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171</w:t>
            </w:r>
          </w:p>
        </w:tc>
        <w:tc>
          <w:tcPr>
            <w:tcW w:w="2340" w:type="dxa"/>
            <w:tcBorders>
              <w:top w:val="nil"/>
              <w:left w:val="nil"/>
              <w:bottom w:val="nil"/>
              <w:right w:val="nil"/>
            </w:tcBorders>
            <w:shd w:val="clear" w:color="auto" w:fill="auto"/>
            <w:noWrap/>
            <w:vAlign w:val="bottom"/>
            <w:hideMark/>
          </w:tcPr>
          <w:p w14:paraId="6C7CACF7"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612A0C0B" w14:textId="77777777" w:rsidTr="00CD7658">
        <w:trPr>
          <w:trHeight w:val="256"/>
        </w:trPr>
        <w:tc>
          <w:tcPr>
            <w:tcW w:w="1219" w:type="dxa"/>
            <w:tcBorders>
              <w:top w:val="nil"/>
              <w:left w:val="nil"/>
              <w:bottom w:val="nil"/>
              <w:right w:val="nil"/>
            </w:tcBorders>
            <w:shd w:val="clear" w:color="auto" w:fill="auto"/>
            <w:noWrap/>
            <w:vAlign w:val="bottom"/>
            <w:hideMark/>
          </w:tcPr>
          <w:p w14:paraId="73C13B9C"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Qtr3</w:t>
            </w:r>
          </w:p>
        </w:tc>
        <w:tc>
          <w:tcPr>
            <w:tcW w:w="3492" w:type="dxa"/>
            <w:tcBorders>
              <w:top w:val="nil"/>
              <w:left w:val="nil"/>
              <w:bottom w:val="nil"/>
              <w:right w:val="nil"/>
            </w:tcBorders>
            <w:shd w:val="clear" w:color="auto" w:fill="auto"/>
            <w:noWrap/>
            <w:vAlign w:val="bottom"/>
            <w:hideMark/>
          </w:tcPr>
          <w:p w14:paraId="5718B739"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09" w:type="dxa"/>
            <w:tcBorders>
              <w:top w:val="nil"/>
              <w:left w:val="nil"/>
              <w:bottom w:val="nil"/>
              <w:right w:val="nil"/>
            </w:tcBorders>
            <w:shd w:val="clear" w:color="auto" w:fill="auto"/>
            <w:noWrap/>
            <w:vAlign w:val="bottom"/>
            <w:hideMark/>
          </w:tcPr>
          <w:p w14:paraId="6A39E0BE"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c>
          <w:tcPr>
            <w:tcW w:w="2340" w:type="dxa"/>
            <w:tcBorders>
              <w:top w:val="nil"/>
              <w:left w:val="nil"/>
              <w:bottom w:val="nil"/>
              <w:right w:val="nil"/>
            </w:tcBorders>
            <w:shd w:val="clear" w:color="auto" w:fill="auto"/>
            <w:noWrap/>
            <w:vAlign w:val="bottom"/>
            <w:hideMark/>
          </w:tcPr>
          <w:p w14:paraId="496FCD76"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4FA686A9" w14:textId="77777777" w:rsidTr="00CD7658">
        <w:trPr>
          <w:trHeight w:val="256"/>
        </w:trPr>
        <w:tc>
          <w:tcPr>
            <w:tcW w:w="1219" w:type="dxa"/>
            <w:tcBorders>
              <w:top w:val="nil"/>
              <w:left w:val="nil"/>
              <w:bottom w:val="nil"/>
              <w:right w:val="nil"/>
            </w:tcBorders>
            <w:shd w:val="clear" w:color="auto" w:fill="auto"/>
            <w:noWrap/>
            <w:vAlign w:val="bottom"/>
            <w:hideMark/>
          </w:tcPr>
          <w:p w14:paraId="251CFC95"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Qtr4</w:t>
            </w:r>
          </w:p>
        </w:tc>
        <w:tc>
          <w:tcPr>
            <w:tcW w:w="3492" w:type="dxa"/>
            <w:tcBorders>
              <w:top w:val="nil"/>
              <w:left w:val="nil"/>
              <w:bottom w:val="nil"/>
              <w:right w:val="nil"/>
            </w:tcBorders>
            <w:shd w:val="clear" w:color="auto" w:fill="auto"/>
            <w:noWrap/>
            <w:vAlign w:val="bottom"/>
            <w:hideMark/>
          </w:tcPr>
          <w:p w14:paraId="641299E6"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60,720</w:t>
            </w:r>
          </w:p>
        </w:tc>
        <w:tc>
          <w:tcPr>
            <w:tcW w:w="2309" w:type="dxa"/>
            <w:tcBorders>
              <w:top w:val="nil"/>
              <w:left w:val="nil"/>
              <w:bottom w:val="nil"/>
              <w:right w:val="nil"/>
            </w:tcBorders>
            <w:shd w:val="clear" w:color="auto" w:fill="auto"/>
            <w:noWrap/>
            <w:vAlign w:val="bottom"/>
            <w:hideMark/>
          </w:tcPr>
          <w:p w14:paraId="38A6E81E"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w:t>
            </w:r>
          </w:p>
        </w:tc>
        <w:tc>
          <w:tcPr>
            <w:tcW w:w="2340" w:type="dxa"/>
            <w:tcBorders>
              <w:top w:val="nil"/>
              <w:left w:val="nil"/>
              <w:bottom w:val="nil"/>
              <w:right w:val="nil"/>
            </w:tcBorders>
            <w:shd w:val="clear" w:color="auto" w:fill="auto"/>
            <w:noWrap/>
            <w:vAlign w:val="bottom"/>
            <w:hideMark/>
          </w:tcPr>
          <w:p w14:paraId="76239F63"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1EA2C7ED" w14:textId="77777777" w:rsidTr="00CD7658">
        <w:trPr>
          <w:trHeight w:val="256"/>
        </w:trPr>
        <w:tc>
          <w:tcPr>
            <w:tcW w:w="1219" w:type="dxa"/>
            <w:tcBorders>
              <w:top w:val="nil"/>
              <w:left w:val="nil"/>
              <w:bottom w:val="single" w:sz="4" w:space="0" w:color="8EA9DB"/>
              <w:right w:val="nil"/>
            </w:tcBorders>
            <w:shd w:val="clear" w:color="auto" w:fill="auto"/>
            <w:noWrap/>
            <w:vAlign w:val="bottom"/>
            <w:hideMark/>
          </w:tcPr>
          <w:p w14:paraId="4288D83D"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2024</w:t>
            </w:r>
          </w:p>
        </w:tc>
        <w:tc>
          <w:tcPr>
            <w:tcW w:w="3492" w:type="dxa"/>
            <w:tcBorders>
              <w:top w:val="nil"/>
              <w:left w:val="nil"/>
              <w:bottom w:val="single" w:sz="4" w:space="0" w:color="8EA9DB"/>
              <w:right w:val="nil"/>
            </w:tcBorders>
            <w:shd w:val="clear" w:color="auto" w:fill="auto"/>
            <w:noWrap/>
            <w:vAlign w:val="bottom"/>
            <w:hideMark/>
          </w:tcPr>
          <w:p w14:paraId="16DC63A5"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13,347,076</w:t>
            </w:r>
          </w:p>
        </w:tc>
        <w:tc>
          <w:tcPr>
            <w:tcW w:w="2309" w:type="dxa"/>
            <w:tcBorders>
              <w:top w:val="nil"/>
              <w:left w:val="nil"/>
              <w:bottom w:val="single" w:sz="4" w:space="0" w:color="8EA9DB"/>
              <w:right w:val="nil"/>
            </w:tcBorders>
            <w:shd w:val="clear" w:color="auto" w:fill="auto"/>
            <w:noWrap/>
            <w:vAlign w:val="bottom"/>
            <w:hideMark/>
          </w:tcPr>
          <w:p w14:paraId="1FE76F5C"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575</w:t>
            </w:r>
          </w:p>
        </w:tc>
        <w:tc>
          <w:tcPr>
            <w:tcW w:w="2340" w:type="dxa"/>
            <w:tcBorders>
              <w:top w:val="nil"/>
              <w:left w:val="nil"/>
              <w:bottom w:val="single" w:sz="4" w:space="0" w:color="8EA9DB"/>
              <w:right w:val="nil"/>
            </w:tcBorders>
            <w:shd w:val="clear" w:color="auto" w:fill="auto"/>
            <w:noWrap/>
            <w:vAlign w:val="bottom"/>
            <w:hideMark/>
          </w:tcPr>
          <w:p w14:paraId="0CA7DBAA"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62</w:t>
            </w:r>
          </w:p>
        </w:tc>
      </w:tr>
      <w:tr w:rsidR="007C2FA7" w:rsidRPr="007C2FA7" w14:paraId="07590DF6" w14:textId="77777777" w:rsidTr="00CD7658">
        <w:trPr>
          <w:trHeight w:val="256"/>
        </w:trPr>
        <w:tc>
          <w:tcPr>
            <w:tcW w:w="1219" w:type="dxa"/>
            <w:tcBorders>
              <w:top w:val="nil"/>
              <w:left w:val="nil"/>
              <w:bottom w:val="nil"/>
              <w:right w:val="nil"/>
            </w:tcBorders>
            <w:shd w:val="clear" w:color="auto" w:fill="auto"/>
            <w:noWrap/>
            <w:vAlign w:val="bottom"/>
            <w:hideMark/>
          </w:tcPr>
          <w:p w14:paraId="65DC874B"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Qtr1</w:t>
            </w:r>
          </w:p>
        </w:tc>
        <w:tc>
          <w:tcPr>
            <w:tcW w:w="3492" w:type="dxa"/>
            <w:tcBorders>
              <w:top w:val="nil"/>
              <w:left w:val="nil"/>
              <w:bottom w:val="nil"/>
              <w:right w:val="nil"/>
            </w:tcBorders>
            <w:shd w:val="clear" w:color="auto" w:fill="auto"/>
            <w:noWrap/>
            <w:vAlign w:val="bottom"/>
            <w:hideMark/>
          </w:tcPr>
          <w:p w14:paraId="583F2AED"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3,541,012</w:t>
            </w:r>
          </w:p>
        </w:tc>
        <w:tc>
          <w:tcPr>
            <w:tcW w:w="2309" w:type="dxa"/>
            <w:tcBorders>
              <w:top w:val="nil"/>
              <w:left w:val="nil"/>
              <w:bottom w:val="nil"/>
              <w:right w:val="nil"/>
            </w:tcBorders>
            <w:shd w:val="clear" w:color="auto" w:fill="auto"/>
            <w:noWrap/>
            <w:vAlign w:val="bottom"/>
            <w:hideMark/>
          </w:tcPr>
          <w:p w14:paraId="0A5EA86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176</w:t>
            </w:r>
          </w:p>
        </w:tc>
        <w:tc>
          <w:tcPr>
            <w:tcW w:w="2340" w:type="dxa"/>
            <w:tcBorders>
              <w:top w:val="nil"/>
              <w:left w:val="nil"/>
              <w:bottom w:val="nil"/>
              <w:right w:val="nil"/>
            </w:tcBorders>
            <w:shd w:val="clear" w:color="auto" w:fill="auto"/>
            <w:noWrap/>
            <w:vAlign w:val="bottom"/>
            <w:hideMark/>
          </w:tcPr>
          <w:p w14:paraId="6C6F5D3E"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w:t>
            </w:r>
          </w:p>
        </w:tc>
      </w:tr>
      <w:tr w:rsidR="007C2FA7" w:rsidRPr="007C2FA7" w14:paraId="5AC83312" w14:textId="77777777" w:rsidTr="00CD7658">
        <w:trPr>
          <w:trHeight w:val="256"/>
        </w:trPr>
        <w:tc>
          <w:tcPr>
            <w:tcW w:w="1219" w:type="dxa"/>
            <w:tcBorders>
              <w:top w:val="nil"/>
              <w:left w:val="nil"/>
              <w:bottom w:val="nil"/>
              <w:right w:val="nil"/>
            </w:tcBorders>
            <w:shd w:val="clear" w:color="auto" w:fill="auto"/>
            <w:noWrap/>
            <w:vAlign w:val="bottom"/>
            <w:hideMark/>
          </w:tcPr>
          <w:p w14:paraId="7E794259"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Qtr2</w:t>
            </w:r>
          </w:p>
        </w:tc>
        <w:tc>
          <w:tcPr>
            <w:tcW w:w="3492" w:type="dxa"/>
            <w:tcBorders>
              <w:top w:val="nil"/>
              <w:left w:val="nil"/>
              <w:bottom w:val="nil"/>
              <w:right w:val="nil"/>
            </w:tcBorders>
            <w:shd w:val="clear" w:color="auto" w:fill="auto"/>
            <w:noWrap/>
            <w:vAlign w:val="bottom"/>
            <w:hideMark/>
          </w:tcPr>
          <w:p w14:paraId="0CF34214"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9,346,599</w:t>
            </w:r>
          </w:p>
        </w:tc>
        <w:tc>
          <w:tcPr>
            <w:tcW w:w="2309" w:type="dxa"/>
            <w:tcBorders>
              <w:top w:val="nil"/>
              <w:left w:val="nil"/>
              <w:bottom w:val="nil"/>
              <w:right w:val="nil"/>
            </w:tcBorders>
            <w:shd w:val="clear" w:color="auto" w:fill="auto"/>
            <w:noWrap/>
            <w:vAlign w:val="bottom"/>
            <w:hideMark/>
          </w:tcPr>
          <w:p w14:paraId="6B3AA28C"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380</w:t>
            </w:r>
          </w:p>
        </w:tc>
        <w:tc>
          <w:tcPr>
            <w:tcW w:w="2340" w:type="dxa"/>
            <w:tcBorders>
              <w:top w:val="nil"/>
              <w:left w:val="nil"/>
              <w:bottom w:val="nil"/>
              <w:right w:val="nil"/>
            </w:tcBorders>
            <w:shd w:val="clear" w:color="auto" w:fill="auto"/>
            <w:noWrap/>
            <w:vAlign w:val="bottom"/>
            <w:hideMark/>
          </w:tcPr>
          <w:p w14:paraId="437AD849"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61</w:t>
            </w:r>
          </w:p>
        </w:tc>
      </w:tr>
      <w:tr w:rsidR="007C2FA7" w:rsidRPr="007C2FA7" w14:paraId="3E87A357" w14:textId="77777777" w:rsidTr="00CD7658">
        <w:trPr>
          <w:trHeight w:val="256"/>
        </w:trPr>
        <w:tc>
          <w:tcPr>
            <w:tcW w:w="1219" w:type="dxa"/>
            <w:tcBorders>
              <w:top w:val="nil"/>
              <w:left w:val="nil"/>
              <w:bottom w:val="nil"/>
              <w:right w:val="nil"/>
            </w:tcBorders>
            <w:shd w:val="clear" w:color="auto" w:fill="auto"/>
            <w:noWrap/>
            <w:vAlign w:val="bottom"/>
            <w:hideMark/>
          </w:tcPr>
          <w:p w14:paraId="4D5C2F7A"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Qtr3</w:t>
            </w:r>
          </w:p>
        </w:tc>
        <w:tc>
          <w:tcPr>
            <w:tcW w:w="3492" w:type="dxa"/>
            <w:tcBorders>
              <w:top w:val="nil"/>
              <w:left w:val="nil"/>
              <w:bottom w:val="nil"/>
              <w:right w:val="nil"/>
            </w:tcBorders>
            <w:shd w:val="clear" w:color="auto" w:fill="auto"/>
            <w:noWrap/>
            <w:vAlign w:val="bottom"/>
            <w:hideMark/>
          </w:tcPr>
          <w:p w14:paraId="64963169"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331,349</w:t>
            </w:r>
          </w:p>
        </w:tc>
        <w:tc>
          <w:tcPr>
            <w:tcW w:w="2309" w:type="dxa"/>
            <w:tcBorders>
              <w:top w:val="nil"/>
              <w:left w:val="nil"/>
              <w:bottom w:val="nil"/>
              <w:right w:val="nil"/>
            </w:tcBorders>
            <w:shd w:val="clear" w:color="auto" w:fill="auto"/>
            <w:noWrap/>
            <w:vAlign w:val="bottom"/>
            <w:hideMark/>
          </w:tcPr>
          <w:p w14:paraId="70F27E0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13</w:t>
            </w:r>
          </w:p>
        </w:tc>
        <w:tc>
          <w:tcPr>
            <w:tcW w:w="2340" w:type="dxa"/>
            <w:tcBorders>
              <w:top w:val="nil"/>
              <w:left w:val="nil"/>
              <w:bottom w:val="nil"/>
              <w:right w:val="nil"/>
            </w:tcBorders>
            <w:shd w:val="clear" w:color="auto" w:fill="auto"/>
            <w:noWrap/>
            <w:vAlign w:val="bottom"/>
            <w:hideMark/>
          </w:tcPr>
          <w:p w14:paraId="21D9E089"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5425961D" w14:textId="77777777" w:rsidTr="00CD7658">
        <w:trPr>
          <w:trHeight w:val="256"/>
        </w:trPr>
        <w:tc>
          <w:tcPr>
            <w:tcW w:w="1219" w:type="dxa"/>
            <w:tcBorders>
              <w:top w:val="nil"/>
              <w:left w:val="nil"/>
              <w:bottom w:val="nil"/>
              <w:right w:val="nil"/>
            </w:tcBorders>
            <w:shd w:val="clear" w:color="auto" w:fill="auto"/>
            <w:noWrap/>
            <w:vAlign w:val="bottom"/>
            <w:hideMark/>
          </w:tcPr>
          <w:p w14:paraId="74920397"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Qtr4</w:t>
            </w:r>
          </w:p>
        </w:tc>
        <w:tc>
          <w:tcPr>
            <w:tcW w:w="3492" w:type="dxa"/>
            <w:tcBorders>
              <w:top w:val="nil"/>
              <w:left w:val="nil"/>
              <w:bottom w:val="nil"/>
              <w:right w:val="nil"/>
            </w:tcBorders>
            <w:shd w:val="clear" w:color="auto" w:fill="auto"/>
            <w:noWrap/>
            <w:vAlign w:val="bottom"/>
            <w:hideMark/>
          </w:tcPr>
          <w:p w14:paraId="20A0A08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128,116</w:t>
            </w:r>
          </w:p>
        </w:tc>
        <w:tc>
          <w:tcPr>
            <w:tcW w:w="2309" w:type="dxa"/>
            <w:tcBorders>
              <w:top w:val="nil"/>
              <w:left w:val="nil"/>
              <w:bottom w:val="nil"/>
              <w:right w:val="nil"/>
            </w:tcBorders>
            <w:shd w:val="clear" w:color="auto" w:fill="auto"/>
            <w:noWrap/>
            <w:vAlign w:val="bottom"/>
            <w:hideMark/>
          </w:tcPr>
          <w:p w14:paraId="4D3B51CE"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6</w:t>
            </w:r>
          </w:p>
        </w:tc>
        <w:tc>
          <w:tcPr>
            <w:tcW w:w="2340" w:type="dxa"/>
            <w:tcBorders>
              <w:top w:val="nil"/>
              <w:left w:val="nil"/>
              <w:bottom w:val="nil"/>
              <w:right w:val="nil"/>
            </w:tcBorders>
            <w:shd w:val="clear" w:color="auto" w:fill="auto"/>
            <w:noWrap/>
            <w:vAlign w:val="bottom"/>
            <w:hideMark/>
          </w:tcPr>
          <w:p w14:paraId="77BE21DA"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4C60D5A2" w14:textId="77777777" w:rsidTr="00CD7658">
        <w:trPr>
          <w:trHeight w:val="256"/>
        </w:trPr>
        <w:tc>
          <w:tcPr>
            <w:tcW w:w="1219" w:type="dxa"/>
            <w:tcBorders>
              <w:top w:val="nil"/>
              <w:left w:val="nil"/>
              <w:bottom w:val="single" w:sz="4" w:space="0" w:color="8EA9DB"/>
              <w:right w:val="nil"/>
            </w:tcBorders>
            <w:shd w:val="clear" w:color="auto" w:fill="auto"/>
            <w:noWrap/>
            <w:vAlign w:val="bottom"/>
            <w:hideMark/>
          </w:tcPr>
          <w:p w14:paraId="40FCC25B"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2025</w:t>
            </w:r>
          </w:p>
        </w:tc>
        <w:tc>
          <w:tcPr>
            <w:tcW w:w="3492" w:type="dxa"/>
            <w:tcBorders>
              <w:top w:val="nil"/>
              <w:left w:val="nil"/>
              <w:bottom w:val="single" w:sz="4" w:space="0" w:color="8EA9DB"/>
              <w:right w:val="nil"/>
            </w:tcBorders>
            <w:shd w:val="clear" w:color="auto" w:fill="auto"/>
            <w:noWrap/>
            <w:vAlign w:val="bottom"/>
            <w:hideMark/>
          </w:tcPr>
          <w:p w14:paraId="3BB90582"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876,062</w:t>
            </w:r>
          </w:p>
        </w:tc>
        <w:tc>
          <w:tcPr>
            <w:tcW w:w="2309" w:type="dxa"/>
            <w:tcBorders>
              <w:top w:val="nil"/>
              <w:left w:val="nil"/>
              <w:bottom w:val="single" w:sz="4" w:space="0" w:color="8EA9DB"/>
              <w:right w:val="nil"/>
            </w:tcBorders>
            <w:shd w:val="clear" w:color="auto" w:fill="auto"/>
            <w:noWrap/>
            <w:vAlign w:val="bottom"/>
            <w:hideMark/>
          </w:tcPr>
          <w:p w14:paraId="44152E02"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42</w:t>
            </w:r>
          </w:p>
        </w:tc>
        <w:tc>
          <w:tcPr>
            <w:tcW w:w="2340" w:type="dxa"/>
            <w:tcBorders>
              <w:top w:val="nil"/>
              <w:left w:val="nil"/>
              <w:bottom w:val="single" w:sz="4" w:space="0" w:color="8EA9DB"/>
              <w:right w:val="nil"/>
            </w:tcBorders>
            <w:shd w:val="clear" w:color="auto" w:fill="auto"/>
            <w:noWrap/>
            <w:vAlign w:val="bottom"/>
            <w:hideMark/>
          </w:tcPr>
          <w:p w14:paraId="7B92DE23"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5309FD04" w14:textId="77777777" w:rsidTr="00CD7658">
        <w:trPr>
          <w:trHeight w:val="256"/>
        </w:trPr>
        <w:tc>
          <w:tcPr>
            <w:tcW w:w="1219" w:type="dxa"/>
            <w:tcBorders>
              <w:top w:val="nil"/>
              <w:left w:val="nil"/>
              <w:bottom w:val="nil"/>
              <w:right w:val="nil"/>
            </w:tcBorders>
            <w:shd w:val="clear" w:color="auto" w:fill="auto"/>
            <w:noWrap/>
            <w:vAlign w:val="bottom"/>
            <w:hideMark/>
          </w:tcPr>
          <w:p w14:paraId="39F07780" w14:textId="77777777" w:rsidR="007C2FA7" w:rsidRPr="007C2FA7" w:rsidRDefault="007C2FA7" w:rsidP="007C2FA7">
            <w:pPr>
              <w:spacing w:after="0" w:line="240" w:lineRule="auto"/>
              <w:ind w:firstLineChars="100" w:firstLine="201"/>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Qtr1</w:t>
            </w:r>
          </w:p>
        </w:tc>
        <w:tc>
          <w:tcPr>
            <w:tcW w:w="3492" w:type="dxa"/>
            <w:tcBorders>
              <w:top w:val="nil"/>
              <w:left w:val="nil"/>
              <w:bottom w:val="nil"/>
              <w:right w:val="nil"/>
            </w:tcBorders>
            <w:shd w:val="clear" w:color="auto" w:fill="auto"/>
            <w:noWrap/>
            <w:vAlign w:val="bottom"/>
            <w:hideMark/>
          </w:tcPr>
          <w:p w14:paraId="5925468F"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876,062</w:t>
            </w:r>
          </w:p>
        </w:tc>
        <w:tc>
          <w:tcPr>
            <w:tcW w:w="2309" w:type="dxa"/>
            <w:tcBorders>
              <w:top w:val="nil"/>
              <w:left w:val="nil"/>
              <w:bottom w:val="nil"/>
              <w:right w:val="nil"/>
            </w:tcBorders>
            <w:shd w:val="clear" w:color="auto" w:fill="auto"/>
            <w:noWrap/>
            <w:vAlign w:val="bottom"/>
            <w:hideMark/>
          </w:tcPr>
          <w:p w14:paraId="0610CCB8"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42</w:t>
            </w:r>
          </w:p>
        </w:tc>
        <w:tc>
          <w:tcPr>
            <w:tcW w:w="2340" w:type="dxa"/>
            <w:tcBorders>
              <w:top w:val="nil"/>
              <w:left w:val="nil"/>
              <w:bottom w:val="nil"/>
              <w:right w:val="nil"/>
            </w:tcBorders>
            <w:shd w:val="clear" w:color="auto" w:fill="auto"/>
            <w:noWrap/>
            <w:vAlign w:val="bottom"/>
            <w:hideMark/>
          </w:tcPr>
          <w:p w14:paraId="4D8A707B"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0</w:t>
            </w:r>
          </w:p>
        </w:tc>
      </w:tr>
      <w:tr w:rsidR="007C2FA7" w:rsidRPr="007C2FA7" w14:paraId="79251F71" w14:textId="77777777" w:rsidTr="00CD7658">
        <w:trPr>
          <w:trHeight w:val="256"/>
        </w:trPr>
        <w:tc>
          <w:tcPr>
            <w:tcW w:w="1219" w:type="dxa"/>
            <w:tcBorders>
              <w:top w:val="single" w:sz="4" w:space="0" w:color="8EA9DB"/>
              <w:left w:val="nil"/>
              <w:bottom w:val="nil"/>
              <w:right w:val="nil"/>
            </w:tcBorders>
            <w:shd w:val="clear" w:color="D9E1F2" w:fill="D9E1F2"/>
            <w:noWrap/>
            <w:vAlign w:val="bottom"/>
            <w:hideMark/>
          </w:tcPr>
          <w:p w14:paraId="413C7698" w14:textId="77777777" w:rsidR="007C2FA7" w:rsidRPr="007C2FA7" w:rsidRDefault="007C2FA7" w:rsidP="007C2FA7">
            <w:pPr>
              <w:spacing w:after="0" w:line="240" w:lineRule="auto"/>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Grand Total</w:t>
            </w:r>
          </w:p>
        </w:tc>
        <w:tc>
          <w:tcPr>
            <w:tcW w:w="3492" w:type="dxa"/>
            <w:tcBorders>
              <w:top w:val="single" w:sz="4" w:space="0" w:color="8EA9DB"/>
              <w:left w:val="nil"/>
              <w:bottom w:val="nil"/>
              <w:right w:val="nil"/>
            </w:tcBorders>
            <w:shd w:val="clear" w:color="D9E1F2" w:fill="D9E1F2"/>
            <w:noWrap/>
            <w:vAlign w:val="bottom"/>
            <w:hideMark/>
          </w:tcPr>
          <w:p w14:paraId="479E6D86"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18,637,003</w:t>
            </w:r>
          </w:p>
        </w:tc>
        <w:tc>
          <w:tcPr>
            <w:tcW w:w="2309" w:type="dxa"/>
            <w:tcBorders>
              <w:top w:val="single" w:sz="4" w:space="0" w:color="8EA9DB"/>
              <w:left w:val="nil"/>
              <w:bottom w:val="nil"/>
              <w:right w:val="nil"/>
            </w:tcBorders>
            <w:shd w:val="clear" w:color="D9E1F2" w:fill="D9E1F2"/>
            <w:noWrap/>
            <w:vAlign w:val="bottom"/>
            <w:hideMark/>
          </w:tcPr>
          <w:p w14:paraId="23DC9263"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844</w:t>
            </w:r>
          </w:p>
        </w:tc>
        <w:tc>
          <w:tcPr>
            <w:tcW w:w="2340" w:type="dxa"/>
            <w:tcBorders>
              <w:top w:val="single" w:sz="4" w:space="0" w:color="8EA9DB"/>
              <w:left w:val="nil"/>
              <w:bottom w:val="nil"/>
              <w:right w:val="nil"/>
            </w:tcBorders>
            <w:shd w:val="clear" w:color="D9E1F2" w:fill="D9E1F2"/>
            <w:noWrap/>
            <w:vAlign w:val="bottom"/>
            <w:hideMark/>
          </w:tcPr>
          <w:p w14:paraId="5FE8983C" w14:textId="77777777" w:rsidR="007C2FA7" w:rsidRPr="007C2FA7" w:rsidRDefault="007C2FA7" w:rsidP="007C2FA7">
            <w:pPr>
              <w:spacing w:after="0" w:line="240" w:lineRule="auto"/>
              <w:jc w:val="right"/>
              <w:rPr>
                <w:rFonts w:ascii="Arial" w:eastAsia="Times New Roman" w:hAnsi="Arial" w:cs="Arial"/>
                <w:b/>
                <w:bCs/>
                <w:color w:val="000000"/>
                <w:kern w:val="0"/>
                <w:sz w:val="20"/>
                <w:szCs w:val="20"/>
                <w14:ligatures w14:val="none"/>
              </w:rPr>
            </w:pPr>
            <w:r w:rsidRPr="007C2FA7">
              <w:rPr>
                <w:rFonts w:ascii="Arial" w:eastAsia="Times New Roman" w:hAnsi="Arial" w:cs="Arial"/>
                <w:b/>
                <w:bCs/>
                <w:color w:val="000000"/>
                <w:kern w:val="0"/>
                <w:sz w:val="20"/>
                <w:szCs w:val="20"/>
                <w14:ligatures w14:val="none"/>
              </w:rPr>
              <w:t>62</w:t>
            </w:r>
          </w:p>
        </w:tc>
      </w:tr>
    </w:tbl>
    <w:p w14:paraId="539BCFEE" w14:textId="77777777" w:rsidR="007C2FA7" w:rsidRDefault="007C2FA7" w:rsidP="000159F9"/>
    <w:p w14:paraId="510C0821" w14:textId="68F8B848" w:rsidR="000159F9" w:rsidRPr="000E6B98" w:rsidRDefault="000159F9" w:rsidP="000159F9">
      <w:r w:rsidRPr="000E6B98">
        <w:t>As renewable capacity gr</w:t>
      </w:r>
      <w:r w:rsidRPr="00C55058">
        <w:t>o</w:t>
      </w:r>
      <w:r w:rsidRPr="000E6B98">
        <w:t>w</w:t>
      </w:r>
      <w:r w:rsidRPr="00C55058">
        <w:t>s</w:t>
      </w:r>
      <w:r w:rsidRPr="000E6B98">
        <w:t>, negative pricing bec</w:t>
      </w:r>
      <w:r w:rsidRPr="00C55058">
        <w:t>omes</w:t>
      </w:r>
      <w:r w:rsidRPr="000E6B98">
        <w:t xml:space="preserve"> more frequent</w:t>
      </w:r>
      <w:r w:rsidRPr="00C55058">
        <w:t xml:space="preserve"> in the first and second quarters each year</w:t>
      </w:r>
      <w:r w:rsidRPr="000E6B98">
        <w:t xml:space="preserve">. By 2023, this issue extended to </w:t>
      </w:r>
      <w:r w:rsidRPr="00C55058">
        <w:t xml:space="preserve">the fourth </w:t>
      </w:r>
      <w:r w:rsidR="006E6A89" w:rsidRPr="00C55058">
        <w:t>quarter,</w:t>
      </w:r>
      <w:r w:rsidR="001F60A4" w:rsidRPr="00C55058">
        <w:t xml:space="preserve"> </w:t>
      </w:r>
      <w:r w:rsidR="001F60A4" w:rsidRPr="000E6B98">
        <w:t>and</w:t>
      </w:r>
      <w:r w:rsidR="00BE5000">
        <w:t>,</w:t>
      </w:r>
      <w:r w:rsidRPr="000E6B98">
        <w:t xml:space="preserve"> by 2024, negative pricing was also recorded in </w:t>
      </w:r>
      <w:r w:rsidRPr="00C55058">
        <w:t>the third quarter</w:t>
      </w:r>
      <w:r w:rsidRPr="000E6B98">
        <w:t>, further emphasizing the increasing trend of negative pricing across all quarters.</w:t>
      </w:r>
    </w:p>
    <w:p w14:paraId="4A2109E4" w14:textId="282C908E" w:rsidR="000F747A" w:rsidRDefault="000159F9" w:rsidP="00695910">
      <w:r>
        <w:t>N</w:t>
      </w:r>
      <w:r w:rsidRPr="000E6B98">
        <w:t xml:space="preserve">egative energy prices </w:t>
      </w:r>
      <w:r>
        <w:t>have been</w:t>
      </w:r>
      <w:r w:rsidRPr="000E6B98">
        <w:t xml:space="preserve"> observed in </w:t>
      </w:r>
      <w:r w:rsidR="00BE5000">
        <w:t xml:space="preserve">the first </w:t>
      </w:r>
      <w:r w:rsidR="001F60A4">
        <w:t>quarter of</w:t>
      </w:r>
      <w:r>
        <w:t xml:space="preserve"> each year since 2022</w:t>
      </w:r>
      <w:r w:rsidRPr="000E6B98">
        <w:t>, which is typically the period when hydroelectric plants are operating at their peak due to snowmelt. During this time, the combination of high hydroelectric output and low energy demand led to an oversupply of electricity.</w:t>
      </w:r>
      <w:r w:rsidR="003262AC">
        <w:t xml:space="preserve"> </w:t>
      </w:r>
    </w:p>
    <w:p w14:paraId="7910A759" w14:textId="61796DA6" w:rsidR="000159F9" w:rsidRDefault="00402EBA" w:rsidP="000159F9">
      <w:r>
        <w:rPr>
          <w:noProof/>
        </w:rPr>
        <w:drawing>
          <wp:inline distT="0" distB="0" distL="0" distR="0" wp14:anchorId="538067EB" wp14:editId="39E090D2">
            <wp:extent cx="6305550" cy="3220720"/>
            <wp:effectExtent l="0" t="0" r="0" b="17780"/>
            <wp:docPr id="455853621" name="Chart 1">
              <a:extLst xmlns:a="http://schemas.openxmlformats.org/drawingml/2006/main">
                <a:ext uri="{FF2B5EF4-FFF2-40B4-BE49-F238E27FC236}">
                  <a16:creationId xmlns:a16="http://schemas.microsoft.com/office/drawing/2014/main" id="{524A224F-389C-422E-87F3-A45571F6B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529533" w14:textId="466D1800" w:rsidR="003E2A45" w:rsidRPr="000E6B98" w:rsidRDefault="000159F9" w:rsidP="000159F9">
      <w:pPr>
        <w:rPr>
          <w:rFonts w:ascii="Arial" w:eastAsia="Times New Roman" w:hAnsi="Arial" w:cs="Arial"/>
          <w:b/>
          <w:bCs/>
          <w:color w:val="000000"/>
          <w:kern w:val="0"/>
          <w:sz w:val="20"/>
          <w:szCs w:val="20"/>
          <w14:ligatures w14:val="none"/>
        </w:rPr>
      </w:pPr>
      <w:r>
        <w:t xml:space="preserve">Since 2022, there have been </w:t>
      </w:r>
      <w:r w:rsidR="00716577" w:rsidRPr="00716577">
        <w:t xml:space="preserve">7,802,864 </w:t>
      </w:r>
      <w:r w:rsidRPr="00C55058">
        <w:t xml:space="preserve">MWh of generation subjected to </w:t>
      </w:r>
      <w:r>
        <w:t>negative</w:t>
      </w:r>
      <w:r w:rsidR="00BE5000">
        <w:t>-</w:t>
      </w:r>
      <w:r w:rsidRPr="00C55058">
        <w:t xml:space="preserve">energy pricing </w:t>
      </w:r>
      <w:r>
        <w:t>as low as</w:t>
      </w:r>
      <w:r w:rsidR="00AD16DA">
        <w:t xml:space="preserve"> negative </w:t>
      </w:r>
      <w:r>
        <w:t xml:space="preserve">$26.08/MWh over a total of </w:t>
      </w:r>
      <w:r w:rsidR="00E5096D">
        <w:t>388</w:t>
      </w:r>
      <w:r>
        <w:t xml:space="preserve"> hours</w:t>
      </w:r>
      <w:r w:rsidRPr="00C55058">
        <w:t>.</w:t>
      </w:r>
      <w:r>
        <w:rPr>
          <w:rFonts w:ascii="Arial" w:eastAsia="Times New Roman" w:hAnsi="Arial" w:cs="Arial"/>
          <w:b/>
          <w:bCs/>
          <w:color w:val="000000"/>
          <w:kern w:val="0"/>
          <w:sz w:val="20"/>
          <w:szCs w:val="20"/>
          <w14:ligatures w14:val="none"/>
        </w:rPr>
        <w:t xml:space="preserve"> </w:t>
      </w:r>
      <w:r w:rsidRPr="003900DD">
        <w:t xml:space="preserve">In 2022 and 2023, negative prices were observed </w:t>
      </w:r>
      <w:r>
        <w:t>in Q</w:t>
      </w:r>
      <w:r w:rsidR="00BE5000">
        <w:t>TR</w:t>
      </w:r>
      <w:r>
        <w:t xml:space="preserve">1 </w:t>
      </w:r>
      <w:r w:rsidRPr="003900DD">
        <w:t>only in March</w:t>
      </w:r>
      <w:r w:rsidR="00297ECA">
        <w:t>,</w:t>
      </w:r>
      <w:r w:rsidRPr="003900DD">
        <w:t xml:space="preserve"> but in 2024 we saw negative prices stretch into February</w:t>
      </w:r>
      <w:r>
        <w:t xml:space="preserve"> as well</w:t>
      </w:r>
      <w:r w:rsidR="00E5096D">
        <w:t xml:space="preserve">. In March 2025, we saw less generation subjected to negative prices than in 2024, but there was a higher overall number of hours </w:t>
      </w:r>
      <w:r w:rsidR="00BE5000">
        <w:t>when</w:t>
      </w:r>
      <w:r w:rsidR="00E5096D">
        <w:t xml:space="preserve"> prices dipped </w:t>
      </w:r>
      <w:r w:rsidR="00EE69BD">
        <w:t>below negative</w:t>
      </w:r>
      <w:r w:rsidR="00AD16DA">
        <w:t xml:space="preserve"> </w:t>
      </w:r>
      <w:r w:rsidR="00E5096D">
        <w:t>$26.</w:t>
      </w:r>
      <w:r>
        <w:t xml:space="preserve"> </w:t>
      </w:r>
    </w:p>
    <w:p w14:paraId="76CA50BA" w14:textId="1A83F35E" w:rsidR="000159F9" w:rsidRDefault="000159F9" w:rsidP="000159F9">
      <w:r w:rsidRPr="000E6B98">
        <w:t>Q</w:t>
      </w:r>
      <w:r w:rsidR="00BE5000">
        <w:t>TR</w:t>
      </w:r>
      <w:r w:rsidRPr="000E6B98">
        <w:t>2 has historically been the period with the most pronounced negative pricing events, driven by the high generation of hydroelectric and solar power during the spring</w:t>
      </w:r>
      <w:r>
        <w:t xml:space="preserve"> </w:t>
      </w:r>
      <w:r w:rsidRPr="000E6B98">
        <w:t>as the combination of spring snowmelt and strong solar generation result in an oversupply of energy.</w:t>
      </w:r>
    </w:p>
    <w:p w14:paraId="2A58EC3B" w14:textId="1E8CDF6D" w:rsidR="000159F9" w:rsidRDefault="000159F9" w:rsidP="000159F9">
      <w:r>
        <w:rPr>
          <w:noProof/>
        </w:rPr>
        <w:drawing>
          <wp:inline distT="0" distB="0" distL="0" distR="0" wp14:anchorId="1D64113F" wp14:editId="12CB4BA6">
            <wp:extent cx="5943600" cy="3373755"/>
            <wp:effectExtent l="0" t="0" r="0" b="17145"/>
            <wp:docPr id="1143538952" name="Chart 1">
              <a:extLst xmlns:a="http://schemas.openxmlformats.org/drawingml/2006/main">
                <a:ext uri="{FF2B5EF4-FFF2-40B4-BE49-F238E27FC236}">
                  <a16:creationId xmlns:a16="http://schemas.microsoft.com/office/drawing/2014/main" id="{D5CABF58-4A66-408A-9A58-C0DBDFB11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F0DA3D" w14:textId="582B16D7" w:rsidR="000159F9" w:rsidRPr="000E6B98" w:rsidRDefault="000159F9" w:rsidP="000159F9">
      <w:pPr>
        <w:rPr>
          <w:rFonts w:ascii="Arial" w:eastAsia="Times New Roman" w:hAnsi="Arial" w:cs="Arial"/>
          <w:b/>
          <w:bCs/>
          <w:color w:val="000000"/>
          <w:kern w:val="0"/>
          <w:sz w:val="20"/>
          <w:szCs w:val="20"/>
          <w14:ligatures w14:val="none"/>
        </w:rPr>
      </w:pPr>
      <w:r>
        <w:t>Since 2022, in Q</w:t>
      </w:r>
      <w:r w:rsidR="00BE5000">
        <w:t>TR</w:t>
      </w:r>
      <w:r>
        <w:t xml:space="preserve">2 there have been </w:t>
      </w:r>
      <w:r w:rsidRPr="003900DD">
        <w:t>13,</w:t>
      </w:r>
      <w:r>
        <w:t xml:space="preserve">237,499 </w:t>
      </w:r>
      <w:r w:rsidRPr="00C55058">
        <w:t xml:space="preserve">MWh of generation subjected to </w:t>
      </w:r>
      <w:r>
        <w:t xml:space="preserve">negative </w:t>
      </w:r>
      <w:r w:rsidRPr="00C55058">
        <w:t xml:space="preserve">energy pricing </w:t>
      </w:r>
      <w:r>
        <w:t>as low as</w:t>
      </w:r>
      <w:r w:rsidR="00AD16DA">
        <w:t xml:space="preserve"> negative </w:t>
      </w:r>
      <w:r>
        <w:t>$40.99/MWh over a total of 637 hours</w:t>
      </w:r>
      <w:r w:rsidRPr="00C55058">
        <w:t>.</w:t>
      </w:r>
      <w:r>
        <w:rPr>
          <w:rFonts w:ascii="Arial" w:eastAsia="Times New Roman" w:hAnsi="Arial" w:cs="Arial"/>
          <w:b/>
          <w:bCs/>
          <w:color w:val="000000"/>
          <w:kern w:val="0"/>
          <w:sz w:val="20"/>
          <w:szCs w:val="20"/>
          <w14:ligatures w14:val="none"/>
        </w:rPr>
        <w:t xml:space="preserve"> </w:t>
      </w:r>
      <w:r w:rsidRPr="001E0682">
        <w:t>As shown in the graph above, negative prices are getting lower as time goes on with prices more frequently dropping below</w:t>
      </w:r>
      <w:r w:rsidR="00AD16DA">
        <w:t xml:space="preserve"> negative </w:t>
      </w:r>
      <w:r w:rsidRPr="001E0682">
        <w:t>$2</w:t>
      </w:r>
      <w:r>
        <w:t>6</w:t>
      </w:r>
      <w:r w:rsidRPr="001E0682">
        <w:t xml:space="preserve"> per MWh. </w:t>
      </w:r>
    </w:p>
    <w:p w14:paraId="16F12477" w14:textId="24B6FCBE" w:rsidR="000159F9" w:rsidRDefault="000159F9" w:rsidP="000159F9">
      <w:r w:rsidRPr="000E6B98">
        <w:t>While Q</w:t>
      </w:r>
      <w:r w:rsidR="00BE5000">
        <w:t>TR</w:t>
      </w:r>
      <w:r w:rsidRPr="000E6B98">
        <w:t xml:space="preserve">3 typically sees high solar generation during the summer months, the issue of negative pricing was </w:t>
      </w:r>
      <w:r>
        <w:t>observed</w:t>
      </w:r>
      <w:r w:rsidRPr="000E6B98">
        <w:t xml:space="preserve"> </w:t>
      </w:r>
      <w:r>
        <w:t xml:space="preserve">in </w:t>
      </w:r>
      <w:r w:rsidRPr="000E6B98">
        <w:t>202</w:t>
      </w:r>
      <w:r>
        <w:t>4</w:t>
      </w:r>
      <w:r w:rsidRPr="000E6B98">
        <w:t>, when the increase in renewable generation and continuing grid imbalances contributed to negative pricing events even in the traditionally high-demand summer period</w:t>
      </w:r>
      <w:r w:rsidR="0000540F">
        <w:t xml:space="preserve"> due to milder summer temperatures and high hydro </w:t>
      </w:r>
      <w:r w:rsidR="00297ECA">
        <w:t>generation</w:t>
      </w:r>
      <w:r w:rsidRPr="000E6B98">
        <w:t>.</w:t>
      </w:r>
    </w:p>
    <w:p w14:paraId="2F4E6DBA" w14:textId="76085A01" w:rsidR="000159F9" w:rsidRDefault="000159F9" w:rsidP="000159F9">
      <w:r>
        <w:rPr>
          <w:noProof/>
        </w:rPr>
        <w:drawing>
          <wp:inline distT="0" distB="0" distL="0" distR="0" wp14:anchorId="3971D9B1" wp14:editId="1CB925AC">
            <wp:extent cx="5943600" cy="2914015"/>
            <wp:effectExtent l="0" t="0" r="0" b="635"/>
            <wp:docPr id="740106943" name="Chart 1">
              <a:extLst xmlns:a="http://schemas.openxmlformats.org/drawingml/2006/main">
                <a:ext uri="{FF2B5EF4-FFF2-40B4-BE49-F238E27FC236}">
                  <a16:creationId xmlns:a16="http://schemas.microsoft.com/office/drawing/2014/main" id="{D9EA3BC1-3B78-43F6-83D6-0789A6322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7AEC60" w14:textId="03F407BD" w:rsidR="000159F9" w:rsidRPr="000E6B98" w:rsidRDefault="000159F9" w:rsidP="000159F9">
      <w:r>
        <w:t>In 2024, n</w:t>
      </w:r>
      <w:r w:rsidRPr="000E6B98">
        <w:t xml:space="preserve">egative pricing </w:t>
      </w:r>
      <w:r>
        <w:t xml:space="preserve">was observed over 13 hours </w:t>
      </w:r>
      <w:r w:rsidR="00643AD9">
        <w:t>in Q</w:t>
      </w:r>
      <w:r w:rsidR="00BE5000">
        <w:t>TR</w:t>
      </w:r>
      <w:r w:rsidR="00643AD9">
        <w:t xml:space="preserve">3 </w:t>
      </w:r>
      <w:r>
        <w:t>with a total of 331,349 MWh of generation being subjected to prices as low as</w:t>
      </w:r>
      <w:r w:rsidR="00AD16DA">
        <w:t xml:space="preserve"> negative </w:t>
      </w:r>
      <w:r>
        <w:t>$3.17/MWh. This</w:t>
      </w:r>
      <w:r w:rsidRPr="000E6B98">
        <w:t xml:space="preserve"> highlights the growing challenges in managing grid supply and demand, even during the summer months when energy consumption typically peaks.</w:t>
      </w:r>
    </w:p>
    <w:p w14:paraId="68CAEFDF" w14:textId="2F1DC5F8" w:rsidR="000159F9" w:rsidRDefault="000159F9" w:rsidP="000159F9">
      <w:r w:rsidRPr="000E6B98">
        <w:t>Q</w:t>
      </w:r>
      <w:r w:rsidR="00BE5000">
        <w:t>TR</w:t>
      </w:r>
      <w:r w:rsidRPr="000E6B98">
        <w:t>4 of the year saw negative pricing events begin</w:t>
      </w:r>
      <w:r w:rsidR="00CF67F4">
        <w:t>ning</w:t>
      </w:r>
      <w:r w:rsidRPr="000E6B98">
        <w:t xml:space="preserve"> in 2023, with solar and hydro generation continuing to contribute to the energy surplus. While Q</w:t>
      </w:r>
      <w:r w:rsidR="00CF67F4">
        <w:t>TR</w:t>
      </w:r>
      <w:r w:rsidRPr="000E6B98">
        <w:t>4 had historically been a period of high demand, it became another point of concern as renewable generation continued to rise and outpace demand.</w:t>
      </w:r>
    </w:p>
    <w:p w14:paraId="564F5B25" w14:textId="0D740823" w:rsidR="000159F9" w:rsidRDefault="000159F9" w:rsidP="000159F9">
      <w:r>
        <w:rPr>
          <w:noProof/>
        </w:rPr>
        <w:drawing>
          <wp:inline distT="0" distB="0" distL="0" distR="0" wp14:anchorId="3768CCDB" wp14:editId="73272C2E">
            <wp:extent cx="5943600" cy="2487295"/>
            <wp:effectExtent l="0" t="0" r="0" b="8255"/>
            <wp:docPr id="1311455136" name="Chart 1">
              <a:extLst xmlns:a="http://schemas.openxmlformats.org/drawingml/2006/main">
                <a:ext uri="{FF2B5EF4-FFF2-40B4-BE49-F238E27FC236}">
                  <a16:creationId xmlns:a16="http://schemas.microsoft.com/office/drawing/2014/main" id="{3C1D7110-745B-49DA-8126-024C4E171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57B78F" w14:textId="623E9642" w:rsidR="000159F9" w:rsidRPr="000E6B98" w:rsidRDefault="000159F9" w:rsidP="000159F9">
      <w:r>
        <w:t xml:space="preserve">A total of 188,836 MWh was subjected to negative pricing over 9 hours with prices </w:t>
      </w:r>
      <w:r w:rsidR="00643AD9">
        <w:t xml:space="preserve">reaching </w:t>
      </w:r>
      <w:r>
        <w:t xml:space="preserve">as low as </w:t>
      </w:r>
      <w:r w:rsidR="00CF67F4">
        <w:t xml:space="preserve">negative </w:t>
      </w:r>
      <w:r>
        <w:t xml:space="preserve">$3.93/MWh. </w:t>
      </w:r>
      <w:r w:rsidRPr="000E6B98">
        <w:t>This trend in Q</w:t>
      </w:r>
      <w:r w:rsidR="00BE5000">
        <w:t>TR</w:t>
      </w:r>
      <w:r w:rsidRPr="000E6B98">
        <w:t>4 reflects broader challenges in grid balancing as renewable energy generation expands, and the capacity to store or distribute energy remains limited.</w:t>
      </w:r>
    </w:p>
    <w:p w14:paraId="3BC9A7CE" w14:textId="2FB7F662" w:rsidR="000159F9" w:rsidRPr="000E6B98" w:rsidRDefault="000159F9" w:rsidP="000159F9">
      <w:pPr>
        <w:rPr>
          <w:b/>
          <w:bCs/>
          <w:sz w:val="28"/>
          <w:szCs w:val="28"/>
        </w:rPr>
      </w:pPr>
      <w:r w:rsidRPr="000E6B98">
        <w:rPr>
          <w:b/>
          <w:bCs/>
          <w:sz w:val="28"/>
          <w:szCs w:val="28"/>
        </w:rPr>
        <w:t xml:space="preserve">How Negative Pricing Follows the "Duck Curve" </w:t>
      </w:r>
    </w:p>
    <w:p w14:paraId="42375C2F" w14:textId="77777777" w:rsidR="000159F9" w:rsidRPr="000E6B98" w:rsidRDefault="000159F9" w:rsidP="000159F9">
      <w:r w:rsidRPr="000E6B98">
        <w:t>The rising number of negatively priced hours in California aligns with the well-known "Duck Curve" issue. The Duck Curve illustrates how solar generation peaks in the middle of the day, often leading to oversupply when energy demand is lower, especially in the spring and early fall.</w:t>
      </w:r>
    </w:p>
    <w:p w14:paraId="60D84273" w14:textId="0FC54708" w:rsidR="000159F9" w:rsidRDefault="000159F9" w:rsidP="000159F9">
      <w:r w:rsidRPr="000E6B98">
        <w:t>Negative pricing is most often observed during the hours of peak solar generation, when excess energy floods the grid. As California’s solar generation increases, the "duck-shaped" dip in demand occurs</w:t>
      </w:r>
      <w:r w:rsidR="00AE10BF">
        <w:t xml:space="preserve"> when</w:t>
      </w:r>
      <w:r w:rsidRPr="000E6B98">
        <w:t xml:space="preserve"> there is a sharp drop in net demand as solar output peaks, followed by a steep increase in demand during the evening when solar generation drops off.</w:t>
      </w:r>
    </w:p>
    <w:p w14:paraId="021B1741" w14:textId="486B03A4" w:rsidR="000159F9" w:rsidRDefault="00E5096D" w:rsidP="000159F9">
      <w:r>
        <w:rPr>
          <w:noProof/>
        </w:rPr>
        <w:drawing>
          <wp:inline distT="0" distB="0" distL="0" distR="0" wp14:anchorId="4C7783F8" wp14:editId="6C896E86">
            <wp:extent cx="6638925" cy="3181350"/>
            <wp:effectExtent l="0" t="0" r="9525" b="0"/>
            <wp:docPr id="1703381499" name="Chart 1">
              <a:extLst xmlns:a="http://schemas.openxmlformats.org/drawingml/2006/main">
                <a:ext uri="{FF2B5EF4-FFF2-40B4-BE49-F238E27FC236}">
                  <a16:creationId xmlns:a16="http://schemas.microsoft.com/office/drawing/2014/main" id="{7ED90E72-C7D0-4AD1-B4D4-501CD1953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498E21" w14:textId="4B6BAE5B" w:rsidR="000159F9" w:rsidRPr="000E6B98" w:rsidRDefault="000159F9" w:rsidP="000159F9">
      <w:r w:rsidRPr="000E6B98">
        <w:t xml:space="preserve">As the state's solar capacity grows, negative pricing during midday hours becomes more frequent, especially </w:t>
      </w:r>
      <w:r w:rsidR="00643AD9">
        <w:t xml:space="preserve">when </w:t>
      </w:r>
      <w:r w:rsidRPr="000E6B98">
        <w:t>hydro generation</w:t>
      </w:r>
      <w:r w:rsidR="00643AD9">
        <w:t xml:space="preserve"> is</w:t>
      </w:r>
      <w:r w:rsidRPr="000E6B98">
        <w:t xml:space="preserve"> at</w:t>
      </w:r>
      <w:r w:rsidR="00643AD9">
        <w:t xml:space="preserve"> its </w:t>
      </w:r>
      <w:r w:rsidRPr="000E6B98">
        <w:t>highest.</w:t>
      </w:r>
    </w:p>
    <w:p w14:paraId="5D9D42D2" w14:textId="77777777" w:rsidR="000159F9" w:rsidRPr="000E6B98" w:rsidRDefault="000159F9" w:rsidP="000159F9">
      <w:pPr>
        <w:rPr>
          <w:b/>
          <w:bCs/>
          <w:sz w:val="28"/>
          <w:szCs w:val="28"/>
        </w:rPr>
      </w:pPr>
      <w:r w:rsidRPr="004C21D9">
        <w:rPr>
          <w:b/>
          <w:bCs/>
          <w:sz w:val="28"/>
          <w:szCs w:val="28"/>
        </w:rPr>
        <w:t>Looking Forward</w:t>
      </w:r>
    </w:p>
    <w:p w14:paraId="3ECDB011" w14:textId="3A4EF3DD" w:rsidR="00695910" w:rsidRPr="00695910" w:rsidRDefault="00EE69BD" w:rsidP="00695910">
      <w:r>
        <w:t>Although</w:t>
      </w:r>
      <w:r w:rsidR="005A4B29">
        <w:t xml:space="preserve"> not necessar</w:t>
      </w:r>
      <w:r w:rsidR="00AD16DA">
        <w:t>ily</w:t>
      </w:r>
      <w:r w:rsidR="005A4B29">
        <w:t xml:space="preserve"> a bad outcome, n</w:t>
      </w:r>
      <w:r w:rsidR="00695910" w:rsidRPr="00695910">
        <w:t xml:space="preserve">egative energy pricing in California has been steadily increasing, particularly during the spring months when hydroelectric generation is at its peak. In 2022, negative pricing was largely limited to the first and second quarters. However, by 2023 it had expanded into the fourth </w:t>
      </w:r>
      <w:r w:rsidR="00944BE4" w:rsidRPr="00695910">
        <w:t>quarter,</w:t>
      </w:r>
      <w:r w:rsidR="00695910" w:rsidRPr="00695910">
        <w:t xml:space="preserve"> and</w:t>
      </w:r>
      <w:r w:rsidR="00AE10BF">
        <w:t>,</w:t>
      </w:r>
      <w:r w:rsidR="00695910" w:rsidRPr="00695910">
        <w:t xml:space="preserve"> in 2024, negatively priced hours were observed across all four quarters. In the first quarter of 2025 alone, California recorded the highest number of negatively priced hours since 2022—a trend that is expected to continue throughout the year.</w:t>
      </w:r>
    </w:p>
    <w:p w14:paraId="73E85484" w14:textId="77777777" w:rsidR="00695910" w:rsidRDefault="00695910" w:rsidP="00695910">
      <w:r w:rsidRPr="00695910">
        <w:t>This growing phenomenon is closely tied to the state’s increasing share of renewable energy, particularly the overgeneration of solar and hydroelectric power. Compounding the issue are persistent grid management challenges and limited energy storage capacity. As California advances its transition toward a cleaner grid, addressing the root causes of negative pricing will be critical to ensuring long-term grid stability and operational efficiency.</w:t>
      </w:r>
    </w:p>
    <w:p w14:paraId="502CB06B" w14:textId="45794F40" w:rsidR="00AE10BF" w:rsidRPr="00CD7658" w:rsidRDefault="00CF67F4" w:rsidP="00695910">
      <w:pPr>
        <w:rPr>
          <w:b/>
          <w:bCs/>
          <w:sz w:val="28"/>
          <w:szCs w:val="28"/>
        </w:rPr>
      </w:pPr>
      <w:r>
        <w:rPr>
          <w:b/>
          <w:bCs/>
          <w:sz w:val="28"/>
          <w:szCs w:val="28"/>
        </w:rPr>
        <w:t xml:space="preserve">Will </w:t>
      </w:r>
      <w:r w:rsidR="006E6A89">
        <w:rPr>
          <w:b/>
          <w:bCs/>
          <w:sz w:val="28"/>
          <w:szCs w:val="28"/>
        </w:rPr>
        <w:t>B</w:t>
      </w:r>
      <w:r w:rsidR="00487DC8" w:rsidRPr="00CD7658">
        <w:rPr>
          <w:b/>
          <w:bCs/>
          <w:sz w:val="28"/>
          <w:szCs w:val="28"/>
        </w:rPr>
        <w:t xml:space="preserve">attery </w:t>
      </w:r>
      <w:r w:rsidR="006E6A89">
        <w:rPr>
          <w:b/>
          <w:bCs/>
          <w:sz w:val="28"/>
          <w:szCs w:val="28"/>
        </w:rPr>
        <w:t>S</w:t>
      </w:r>
      <w:r w:rsidR="00487DC8" w:rsidRPr="00CD7658">
        <w:rPr>
          <w:b/>
          <w:bCs/>
          <w:sz w:val="28"/>
          <w:szCs w:val="28"/>
        </w:rPr>
        <w:t xml:space="preserve">torage </w:t>
      </w:r>
      <w:r w:rsidR="006E6A89">
        <w:rPr>
          <w:b/>
          <w:bCs/>
          <w:sz w:val="28"/>
          <w:szCs w:val="28"/>
        </w:rPr>
        <w:t>O</w:t>
      </w:r>
      <w:r w:rsidR="00487DC8" w:rsidRPr="00CD7658">
        <w:rPr>
          <w:b/>
          <w:bCs/>
          <w:sz w:val="28"/>
          <w:szCs w:val="28"/>
        </w:rPr>
        <w:t xml:space="preserve">ffer a </w:t>
      </w:r>
      <w:r w:rsidR="006E6A89">
        <w:rPr>
          <w:b/>
          <w:bCs/>
          <w:sz w:val="28"/>
          <w:szCs w:val="28"/>
        </w:rPr>
        <w:t>S</w:t>
      </w:r>
      <w:r w:rsidR="00487DC8" w:rsidRPr="00CD7658">
        <w:rPr>
          <w:b/>
          <w:bCs/>
          <w:sz w:val="28"/>
          <w:szCs w:val="28"/>
        </w:rPr>
        <w:t>olution</w:t>
      </w:r>
      <w:r>
        <w:rPr>
          <w:b/>
          <w:bCs/>
          <w:sz w:val="28"/>
          <w:szCs w:val="28"/>
        </w:rPr>
        <w:t>?</w:t>
      </w:r>
    </w:p>
    <w:p w14:paraId="32FF372D" w14:textId="40E4C353" w:rsidR="00695910" w:rsidRPr="00695910" w:rsidRDefault="00CF67F4" w:rsidP="00695910">
      <w:r>
        <w:t xml:space="preserve">In our opinion, battery storage is not enough to offer a complete solution. </w:t>
      </w:r>
      <w:r w:rsidR="00695910" w:rsidRPr="00695910">
        <w:t xml:space="preserve">Utility-scale battery storage is progressing rapidly, but not fast enough to fully absorb the </w:t>
      </w:r>
      <w:r w:rsidR="001E4F3E">
        <w:t xml:space="preserve">entire </w:t>
      </w:r>
      <w:r w:rsidR="00695910" w:rsidRPr="00695910">
        <w:t>excess generation during peak solar hours. Some predict that widespread battery deployment will eventually flatten the price differential between solar and non-solar hours. However, we do not anticipate this scenario becoming reality within the next decade—especially if the Diablo Canyon nuclear plant retires. Additionally, much of the current battery development is co-located with new solar projects, further adding solar capacity to the grid rather than providing standalone storage. As a result, it may take time before batteries have a significant impact on mitigating overgeneration.</w:t>
      </w:r>
    </w:p>
    <w:p w14:paraId="03F4907E" w14:textId="77777777" w:rsidR="00695910" w:rsidRPr="00695910" w:rsidRDefault="00695910" w:rsidP="00695910">
      <w:r w:rsidRPr="00695910">
        <w:t>Interconnection, transmission constraints, and deliverability limitations remain key barriers to the accelerated deployment of storage resources. The core economic case for batteries lies in their ability to store low-cost or negatively priced energy during solar hours and discharge it during evening peaks, ideally at prices lower than those seen before widespread storage adoption.</w:t>
      </w:r>
    </w:p>
    <w:p w14:paraId="5857EEC4" w14:textId="77777777" w:rsidR="00695910" w:rsidRPr="00695910" w:rsidRDefault="00695910" w:rsidP="00695910">
      <w:r w:rsidRPr="00695910">
        <w:t>One particularly telling market dynamic is that many investors are hesitant to pursue standalone storage projects due to uncertainty around future charging costs. There’s skepticism that today’s low or negative prices will persist over the long term. Nonetheless, we believe that early movers in standalone storage will be best positioned to benefit, while those who take a “wait and see” approach risk missing critical market opportunities.</w:t>
      </w:r>
    </w:p>
    <w:p w14:paraId="664EACD6" w14:textId="77777777" w:rsidR="000159F9" w:rsidRDefault="000159F9" w:rsidP="00695910"/>
    <w:sectPr w:rsidR="000159F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DC85" w14:textId="77777777" w:rsidR="00316E5A" w:rsidRDefault="00316E5A" w:rsidP="003018DF">
      <w:pPr>
        <w:spacing w:after="0" w:line="240" w:lineRule="auto"/>
      </w:pPr>
      <w:r>
        <w:separator/>
      </w:r>
    </w:p>
  </w:endnote>
  <w:endnote w:type="continuationSeparator" w:id="0">
    <w:p w14:paraId="4F48BDFA" w14:textId="77777777" w:rsidR="00316E5A" w:rsidRDefault="00316E5A" w:rsidP="0030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76650"/>
      <w:docPartObj>
        <w:docPartGallery w:val="Page Numbers (Bottom of Page)"/>
        <w:docPartUnique/>
      </w:docPartObj>
    </w:sdtPr>
    <w:sdtEndPr>
      <w:rPr>
        <w:noProof/>
      </w:rPr>
    </w:sdtEndPr>
    <w:sdtContent>
      <w:p w14:paraId="3887DDA1" w14:textId="04E4C872" w:rsidR="00A97F48" w:rsidRDefault="00A97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1666" w14:textId="77777777" w:rsidR="00A97F48" w:rsidRDefault="00A9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348C" w14:textId="77777777" w:rsidR="00316E5A" w:rsidRDefault="00316E5A" w:rsidP="003018DF">
      <w:pPr>
        <w:spacing w:after="0" w:line="240" w:lineRule="auto"/>
      </w:pPr>
      <w:r>
        <w:separator/>
      </w:r>
    </w:p>
  </w:footnote>
  <w:footnote w:type="continuationSeparator" w:id="0">
    <w:p w14:paraId="01605FBC" w14:textId="77777777" w:rsidR="00316E5A" w:rsidRDefault="00316E5A" w:rsidP="003018DF">
      <w:pPr>
        <w:spacing w:after="0" w:line="240" w:lineRule="auto"/>
      </w:pPr>
      <w:r>
        <w:continuationSeparator/>
      </w:r>
    </w:p>
  </w:footnote>
  <w:footnote w:id="1">
    <w:p w14:paraId="647A2974" w14:textId="2C11BFDA" w:rsidR="006F0DE9" w:rsidRDefault="006F0DE9">
      <w:pPr>
        <w:pStyle w:val="FootnoteText"/>
      </w:pPr>
      <w:r>
        <w:rPr>
          <w:rStyle w:val="FootnoteReference"/>
        </w:rPr>
        <w:footnoteRef/>
      </w:r>
      <w:r>
        <w:t xml:space="preserve"> There is a practical aspect to this though.  I suggested this </w:t>
      </w:r>
      <w:r w:rsidR="00EE69BD">
        <w:t>before,</w:t>
      </w:r>
      <w:r>
        <w:t xml:space="preserve"> but my family </w:t>
      </w:r>
      <w:r w:rsidR="005A218E">
        <w:t>has consistently</w:t>
      </w:r>
      <w:r>
        <w:t xml:space="preserve"> objected to this sound economic advice.</w:t>
      </w:r>
    </w:p>
    <w:p w14:paraId="7AA845AD" w14:textId="77777777" w:rsidR="005A218E" w:rsidRDefault="005A218E">
      <w:pPr>
        <w:pStyle w:val="FootnoteText"/>
      </w:pPr>
    </w:p>
  </w:footnote>
  <w:footnote w:id="2">
    <w:p w14:paraId="521C970F" w14:textId="1CE77B20" w:rsidR="005A218E" w:rsidRDefault="005A218E">
      <w:pPr>
        <w:pStyle w:val="FootnoteText"/>
      </w:pPr>
      <w:r>
        <w:rPr>
          <w:rStyle w:val="FootnoteReference"/>
        </w:rPr>
        <w:footnoteRef/>
      </w:r>
      <w:r>
        <w:t xml:space="preserve"> Other markets experience similar conditions when a product’s value changes from positive to $0 or less when there is not enough demand for the product.  </w:t>
      </w:r>
      <w:r w:rsidR="0089754B">
        <w:t>Grocery stores categorize unsold food as “loss”, which then becomes worthless, the value is $0 or less.</w:t>
      </w:r>
      <w:r>
        <w:t xml:space="preserve"> </w:t>
      </w:r>
    </w:p>
  </w:footnote>
  <w:footnote w:id="3">
    <w:p w14:paraId="021A9AB6" w14:textId="2B14C2E1" w:rsidR="008055AF" w:rsidRDefault="008055AF">
      <w:pPr>
        <w:pStyle w:val="FootnoteText"/>
      </w:pPr>
    </w:p>
  </w:footnote>
  <w:footnote w:id="4">
    <w:p w14:paraId="17722A38" w14:textId="45A71093" w:rsidR="003018DF" w:rsidRDefault="003018DF" w:rsidP="003018DF">
      <w:pPr>
        <w:pStyle w:val="FootnoteText"/>
      </w:pPr>
      <w:r>
        <w:rPr>
          <w:rStyle w:val="FootnoteReference"/>
        </w:rPr>
        <w:footnoteRef/>
      </w:r>
      <w:r w:rsidR="00E847FE">
        <w:t xml:space="preserve">In 2024, </w:t>
      </w:r>
      <w:r>
        <w:t xml:space="preserve">3,423,377 MWh </w:t>
      </w:r>
      <w:r w:rsidR="00E847FE">
        <w:t>of renewable generation was</w:t>
      </w:r>
      <w:r>
        <w:t xml:space="preserve"> curtai</w:t>
      </w:r>
      <w:r w:rsidR="00E847FE">
        <w:t xml:space="preserve">led, which was an increase from </w:t>
      </w:r>
      <w:r>
        <w:t>2,659,526 MWh</w:t>
      </w:r>
      <w:r w:rsidR="00E847FE">
        <w:t xml:space="preserve"> or renewable generation curtailed in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65234"/>
    <w:multiLevelType w:val="hybridMultilevel"/>
    <w:tmpl w:val="BB006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C3D5B"/>
    <w:multiLevelType w:val="hybridMultilevel"/>
    <w:tmpl w:val="2EDE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583948">
    <w:abstractNumId w:val="1"/>
  </w:num>
  <w:num w:numId="2" w16cid:durableId="139061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F9"/>
    <w:rsid w:val="000002C6"/>
    <w:rsid w:val="00001DE2"/>
    <w:rsid w:val="0000540F"/>
    <w:rsid w:val="000077F4"/>
    <w:rsid w:val="000159F9"/>
    <w:rsid w:val="00016966"/>
    <w:rsid w:val="000235C1"/>
    <w:rsid w:val="00026BB9"/>
    <w:rsid w:val="000274D0"/>
    <w:rsid w:val="00027BE0"/>
    <w:rsid w:val="000309F0"/>
    <w:rsid w:val="00054592"/>
    <w:rsid w:val="00073127"/>
    <w:rsid w:val="00074FB1"/>
    <w:rsid w:val="00075FA4"/>
    <w:rsid w:val="00076CDF"/>
    <w:rsid w:val="00077C61"/>
    <w:rsid w:val="00081FCE"/>
    <w:rsid w:val="0008341B"/>
    <w:rsid w:val="0008680C"/>
    <w:rsid w:val="00097C36"/>
    <w:rsid w:val="000A1059"/>
    <w:rsid w:val="000A4457"/>
    <w:rsid w:val="000C0C12"/>
    <w:rsid w:val="000C0FA7"/>
    <w:rsid w:val="000C4FE9"/>
    <w:rsid w:val="000D1CBA"/>
    <w:rsid w:val="000D58E3"/>
    <w:rsid w:val="000E51D9"/>
    <w:rsid w:val="000E57CB"/>
    <w:rsid w:val="000F747A"/>
    <w:rsid w:val="001004F1"/>
    <w:rsid w:val="00106A1A"/>
    <w:rsid w:val="00117242"/>
    <w:rsid w:val="00126521"/>
    <w:rsid w:val="00133580"/>
    <w:rsid w:val="0014018D"/>
    <w:rsid w:val="001401D7"/>
    <w:rsid w:val="00146238"/>
    <w:rsid w:val="00160142"/>
    <w:rsid w:val="0016298D"/>
    <w:rsid w:val="0016384F"/>
    <w:rsid w:val="00170C5A"/>
    <w:rsid w:val="00177C75"/>
    <w:rsid w:val="0018422C"/>
    <w:rsid w:val="00194A59"/>
    <w:rsid w:val="001A6669"/>
    <w:rsid w:val="001B0784"/>
    <w:rsid w:val="001B2314"/>
    <w:rsid w:val="001C6AE8"/>
    <w:rsid w:val="001D40CB"/>
    <w:rsid w:val="001E082B"/>
    <w:rsid w:val="001E4F3E"/>
    <w:rsid w:val="001F526E"/>
    <w:rsid w:val="001F60A4"/>
    <w:rsid w:val="002005C1"/>
    <w:rsid w:val="002017A6"/>
    <w:rsid w:val="00207950"/>
    <w:rsid w:val="00217B20"/>
    <w:rsid w:val="002210CC"/>
    <w:rsid w:val="00230261"/>
    <w:rsid w:val="0023076C"/>
    <w:rsid w:val="00232A2F"/>
    <w:rsid w:val="00243DEA"/>
    <w:rsid w:val="00245F96"/>
    <w:rsid w:val="002472B6"/>
    <w:rsid w:val="00256303"/>
    <w:rsid w:val="00266425"/>
    <w:rsid w:val="0027009F"/>
    <w:rsid w:val="00276D2A"/>
    <w:rsid w:val="00281AE0"/>
    <w:rsid w:val="00285D1C"/>
    <w:rsid w:val="00297ECA"/>
    <w:rsid w:val="002A0E10"/>
    <w:rsid w:val="002A1E10"/>
    <w:rsid w:val="002A5AEE"/>
    <w:rsid w:val="002B6179"/>
    <w:rsid w:val="002C258F"/>
    <w:rsid w:val="002C3940"/>
    <w:rsid w:val="002D04BF"/>
    <w:rsid w:val="002F1684"/>
    <w:rsid w:val="002F40DB"/>
    <w:rsid w:val="003018DF"/>
    <w:rsid w:val="00301F0F"/>
    <w:rsid w:val="003053BE"/>
    <w:rsid w:val="00307A7B"/>
    <w:rsid w:val="00314D2D"/>
    <w:rsid w:val="00316E5A"/>
    <w:rsid w:val="00320B60"/>
    <w:rsid w:val="00322F68"/>
    <w:rsid w:val="00324F8B"/>
    <w:rsid w:val="003262AC"/>
    <w:rsid w:val="003270CD"/>
    <w:rsid w:val="00327370"/>
    <w:rsid w:val="00331991"/>
    <w:rsid w:val="003344C3"/>
    <w:rsid w:val="00334DDA"/>
    <w:rsid w:val="00367CF8"/>
    <w:rsid w:val="00373B60"/>
    <w:rsid w:val="0038714D"/>
    <w:rsid w:val="00396E05"/>
    <w:rsid w:val="003B4C4C"/>
    <w:rsid w:val="003C1F1E"/>
    <w:rsid w:val="003D25D5"/>
    <w:rsid w:val="003D65E9"/>
    <w:rsid w:val="003E2A45"/>
    <w:rsid w:val="003E39E7"/>
    <w:rsid w:val="003F5CE0"/>
    <w:rsid w:val="003F7009"/>
    <w:rsid w:val="00402EBA"/>
    <w:rsid w:val="00422B56"/>
    <w:rsid w:val="00424064"/>
    <w:rsid w:val="00427ACE"/>
    <w:rsid w:val="00431422"/>
    <w:rsid w:val="00432BEB"/>
    <w:rsid w:val="00457940"/>
    <w:rsid w:val="0046057A"/>
    <w:rsid w:val="00462D3B"/>
    <w:rsid w:val="0046690A"/>
    <w:rsid w:val="0046773F"/>
    <w:rsid w:val="004849DF"/>
    <w:rsid w:val="00487DC8"/>
    <w:rsid w:val="0049183A"/>
    <w:rsid w:val="00492412"/>
    <w:rsid w:val="00495A0B"/>
    <w:rsid w:val="004A1029"/>
    <w:rsid w:val="004B15B0"/>
    <w:rsid w:val="004B47F5"/>
    <w:rsid w:val="004B5C41"/>
    <w:rsid w:val="004C4721"/>
    <w:rsid w:val="004E6EC5"/>
    <w:rsid w:val="004F50AE"/>
    <w:rsid w:val="00500DBF"/>
    <w:rsid w:val="005034DE"/>
    <w:rsid w:val="0051239E"/>
    <w:rsid w:val="0052364D"/>
    <w:rsid w:val="005236EB"/>
    <w:rsid w:val="00526B57"/>
    <w:rsid w:val="00551AF7"/>
    <w:rsid w:val="00551B7F"/>
    <w:rsid w:val="005533C7"/>
    <w:rsid w:val="00575386"/>
    <w:rsid w:val="00580A67"/>
    <w:rsid w:val="00581E12"/>
    <w:rsid w:val="00582E55"/>
    <w:rsid w:val="005A218E"/>
    <w:rsid w:val="005A4B29"/>
    <w:rsid w:val="005A6B61"/>
    <w:rsid w:val="005B2215"/>
    <w:rsid w:val="005B3FC7"/>
    <w:rsid w:val="005B7C7C"/>
    <w:rsid w:val="005D5063"/>
    <w:rsid w:val="005D75ED"/>
    <w:rsid w:val="005E1503"/>
    <w:rsid w:val="005E16BD"/>
    <w:rsid w:val="005F76B3"/>
    <w:rsid w:val="00606377"/>
    <w:rsid w:val="0060756E"/>
    <w:rsid w:val="006158B9"/>
    <w:rsid w:val="006206F9"/>
    <w:rsid w:val="00626B1F"/>
    <w:rsid w:val="00643AD9"/>
    <w:rsid w:val="00646259"/>
    <w:rsid w:val="00650651"/>
    <w:rsid w:val="00655EA8"/>
    <w:rsid w:val="00662814"/>
    <w:rsid w:val="00665402"/>
    <w:rsid w:val="00665B82"/>
    <w:rsid w:val="0067078D"/>
    <w:rsid w:val="00675480"/>
    <w:rsid w:val="00683D90"/>
    <w:rsid w:val="006919E6"/>
    <w:rsid w:val="006932EB"/>
    <w:rsid w:val="00695910"/>
    <w:rsid w:val="006B2AB9"/>
    <w:rsid w:val="006B38A6"/>
    <w:rsid w:val="006B3D57"/>
    <w:rsid w:val="006C3179"/>
    <w:rsid w:val="006C5B02"/>
    <w:rsid w:val="006D0141"/>
    <w:rsid w:val="006D1AC7"/>
    <w:rsid w:val="006D2210"/>
    <w:rsid w:val="006E6A89"/>
    <w:rsid w:val="006F0DE9"/>
    <w:rsid w:val="006F4D1F"/>
    <w:rsid w:val="006F5D83"/>
    <w:rsid w:val="006F6131"/>
    <w:rsid w:val="00702330"/>
    <w:rsid w:val="00716577"/>
    <w:rsid w:val="00717FD0"/>
    <w:rsid w:val="00724940"/>
    <w:rsid w:val="00726346"/>
    <w:rsid w:val="00746436"/>
    <w:rsid w:val="00753059"/>
    <w:rsid w:val="00762EA4"/>
    <w:rsid w:val="007633FA"/>
    <w:rsid w:val="0076556A"/>
    <w:rsid w:val="00765D86"/>
    <w:rsid w:val="007804BA"/>
    <w:rsid w:val="00782E53"/>
    <w:rsid w:val="00785A78"/>
    <w:rsid w:val="00785D21"/>
    <w:rsid w:val="00790BC1"/>
    <w:rsid w:val="00791282"/>
    <w:rsid w:val="0079304B"/>
    <w:rsid w:val="007958D7"/>
    <w:rsid w:val="00797F3F"/>
    <w:rsid w:val="007A320A"/>
    <w:rsid w:val="007A4343"/>
    <w:rsid w:val="007B0E2B"/>
    <w:rsid w:val="007B1D98"/>
    <w:rsid w:val="007B6B30"/>
    <w:rsid w:val="007C2FA7"/>
    <w:rsid w:val="007C4556"/>
    <w:rsid w:val="007C56A1"/>
    <w:rsid w:val="007D1619"/>
    <w:rsid w:val="007D284D"/>
    <w:rsid w:val="007D75A8"/>
    <w:rsid w:val="007D7AB7"/>
    <w:rsid w:val="007E25AB"/>
    <w:rsid w:val="007F063A"/>
    <w:rsid w:val="007F2D73"/>
    <w:rsid w:val="007F4FC0"/>
    <w:rsid w:val="007F7349"/>
    <w:rsid w:val="0080096D"/>
    <w:rsid w:val="008055AF"/>
    <w:rsid w:val="0080665B"/>
    <w:rsid w:val="0081102F"/>
    <w:rsid w:val="008122E9"/>
    <w:rsid w:val="00820FC9"/>
    <w:rsid w:val="0082572E"/>
    <w:rsid w:val="00827A22"/>
    <w:rsid w:val="0083230A"/>
    <w:rsid w:val="008324F1"/>
    <w:rsid w:val="00845190"/>
    <w:rsid w:val="008535A3"/>
    <w:rsid w:val="0085387A"/>
    <w:rsid w:val="00863C7C"/>
    <w:rsid w:val="00870540"/>
    <w:rsid w:val="00871951"/>
    <w:rsid w:val="008751B9"/>
    <w:rsid w:val="008756CB"/>
    <w:rsid w:val="00887501"/>
    <w:rsid w:val="0089754B"/>
    <w:rsid w:val="008B242B"/>
    <w:rsid w:val="008B595E"/>
    <w:rsid w:val="008C244C"/>
    <w:rsid w:val="008D0E46"/>
    <w:rsid w:val="008D2180"/>
    <w:rsid w:val="008D5957"/>
    <w:rsid w:val="00905AC5"/>
    <w:rsid w:val="00907077"/>
    <w:rsid w:val="00922E83"/>
    <w:rsid w:val="009328AD"/>
    <w:rsid w:val="00937C1B"/>
    <w:rsid w:val="00944BE4"/>
    <w:rsid w:val="0094737A"/>
    <w:rsid w:val="00951912"/>
    <w:rsid w:val="00957D1B"/>
    <w:rsid w:val="009834F9"/>
    <w:rsid w:val="0099609F"/>
    <w:rsid w:val="009A28E3"/>
    <w:rsid w:val="009A3CEE"/>
    <w:rsid w:val="009A3D7D"/>
    <w:rsid w:val="009A6E66"/>
    <w:rsid w:val="009C7096"/>
    <w:rsid w:val="009D2E16"/>
    <w:rsid w:val="009E3C84"/>
    <w:rsid w:val="009E6586"/>
    <w:rsid w:val="009F7239"/>
    <w:rsid w:val="00A053B1"/>
    <w:rsid w:val="00A0693B"/>
    <w:rsid w:val="00A20A70"/>
    <w:rsid w:val="00A35AE9"/>
    <w:rsid w:val="00A35E0F"/>
    <w:rsid w:val="00A41C30"/>
    <w:rsid w:val="00A43672"/>
    <w:rsid w:val="00A51BA3"/>
    <w:rsid w:val="00A670F0"/>
    <w:rsid w:val="00A84ABC"/>
    <w:rsid w:val="00A85370"/>
    <w:rsid w:val="00A85FAF"/>
    <w:rsid w:val="00A975D5"/>
    <w:rsid w:val="00A97F48"/>
    <w:rsid w:val="00AA0671"/>
    <w:rsid w:val="00AA4C7F"/>
    <w:rsid w:val="00AB0B3E"/>
    <w:rsid w:val="00AC78C1"/>
    <w:rsid w:val="00AD16DA"/>
    <w:rsid w:val="00AE10BF"/>
    <w:rsid w:val="00AE44C5"/>
    <w:rsid w:val="00AE53D7"/>
    <w:rsid w:val="00AE5C4C"/>
    <w:rsid w:val="00AF254E"/>
    <w:rsid w:val="00B1325C"/>
    <w:rsid w:val="00B15DBD"/>
    <w:rsid w:val="00B206EC"/>
    <w:rsid w:val="00B255DE"/>
    <w:rsid w:val="00B37DAA"/>
    <w:rsid w:val="00B419C1"/>
    <w:rsid w:val="00B43D30"/>
    <w:rsid w:val="00B45F04"/>
    <w:rsid w:val="00B47AE2"/>
    <w:rsid w:val="00B56943"/>
    <w:rsid w:val="00B60712"/>
    <w:rsid w:val="00B618CB"/>
    <w:rsid w:val="00B641A6"/>
    <w:rsid w:val="00B72117"/>
    <w:rsid w:val="00B759A6"/>
    <w:rsid w:val="00B75F15"/>
    <w:rsid w:val="00B77514"/>
    <w:rsid w:val="00B85BEE"/>
    <w:rsid w:val="00B86D23"/>
    <w:rsid w:val="00B9041D"/>
    <w:rsid w:val="00B9260C"/>
    <w:rsid w:val="00B9770D"/>
    <w:rsid w:val="00BB523B"/>
    <w:rsid w:val="00BB663F"/>
    <w:rsid w:val="00BE15BE"/>
    <w:rsid w:val="00BE4F7A"/>
    <w:rsid w:val="00BE5000"/>
    <w:rsid w:val="00BE69EB"/>
    <w:rsid w:val="00BF216C"/>
    <w:rsid w:val="00C16B12"/>
    <w:rsid w:val="00C17437"/>
    <w:rsid w:val="00C27601"/>
    <w:rsid w:val="00C32898"/>
    <w:rsid w:val="00C35B18"/>
    <w:rsid w:val="00C43E8F"/>
    <w:rsid w:val="00C50417"/>
    <w:rsid w:val="00C54FE5"/>
    <w:rsid w:val="00C64C90"/>
    <w:rsid w:val="00C661F5"/>
    <w:rsid w:val="00C7020D"/>
    <w:rsid w:val="00C75387"/>
    <w:rsid w:val="00C77BBF"/>
    <w:rsid w:val="00C903D9"/>
    <w:rsid w:val="00C95ABF"/>
    <w:rsid w:val="00C95ED9"/>
    <w:rsid w:val="00C97D83"/>
    <w:rsid w:val="00CA683B"/>
    <w:rsid w:val="00CB36C1"/>
    <w:rsid w:val="00CB7EA5"/>
    <w:rsid w:val="00CC33BD"/>
    <w:rsid w:val="00CC72AB"/>
    <w:rsid w:val="00CD1094"/>
    <w:rsid w:val="00CD6F4F"/>
    <w:rsid w:val="00CD7658"/>
    <w:rsid w:val="00CE1365"/>
    <w:rsid w:val="00CE1E8E"/>
    <w:rsid w:val="00CF51E1"/>
    <w:rsid w:val="00CF67F4"/>
    <w:rsid w:val="00D03A12"/>
    <w:rsid w:val="00D10A47"/>
    <w:rsid w:val="00D20F8E"/>
    <w:rsid w:val="00D21148"/>
    <w:rsid w:val="00D31C3D"/>
    <w:rsid w:val="00D33AE4"/>
    <w:rsid w:val="00D470DE"/>
    <w:rsid w:val="00D47B68"/>
    <w:rsid w:val="00D510E9"/>
    <w:rsid w:val="00D515A4"/>
    <w:rsid w:val="00D5570D"/>
    <w:rsid w:val="00D55915"/>
    <w:rsid w:val="00D55C3D"/>
    <w:rsid w:val="00D606E4"/>
    <w:rsid w:val="00D60915"/>
    <w:rsid w:val="00D61219"/>
    <w:rsid w:val="00D640AD"/>
    <w:rsid w:val="00D75034"/>
    <w:rsid w:val="00D76E8D"/>
    <w:rsid w:val="00D85536"/>
    <w:rsid w:val="00D85822"/>
    <w:rsid w:val="00D8696E"/>
    <w:rsid w:val="00D902E8"/>
    <w:rsid w:val="00D9198C"/>
    <w:rsid w:val="00D928F5"/>
    <w:rsid w:val="00D94847"/>
    <w:rsid w:val="00D952A9"/>
    <w:rsid w:val="00D95B2F"/>
    <w:rsid w:val="00D96B90"/>
    <w:rsid w:val="00DA2395"/>
    <w:rsid w:val="00DA32F9"/>
    <w:rsid w:val="00DA5D01"/>
    <w:rsid w:val="00DB1F56"/>
    <w:rsid w:val="00DC35A6"/>
    <w:rsid w:val="00DC557E"/>
    <w:rsid w:val="00DE3092"/>
    <w:rsid w:val="00DE757C"/>
    <w:rsid w:val="00DF631C"/>
    <w:rsid w:val="00DF79C0"/>
    <w:rsid w:val="00E06462"/>
    <w:rsid w:val="00E10612"/>
    <w:rsid w:val="00E11974"/>
    <w:rsid w:val="00E1283C"/>
    <w:rsid w:val="00E16C86"/>
    <w:rsid w:val="00E24987"/>
    <w:rsid w:val="00E3275F"/>
    <w:rsid w:val="00E411D7"/>
    <w:rsid w:val="00E4425B"/>
    <w:rsid w:val="00E44260"/>
    <w:rsid w:val="00E44D3F"/>
    <w:rsid w:val="00E5096D"/>
    <w:rsid w:val="00E60DCA"/>
    <w:rsid w:val="00E63210"/>
    <w:rsid w:val="00E847FE"/>
    <w:rsid w:val="00E96714"/>
    <w:rsid w:val="00EC6387"/>
    <w:rsid w:val="00EC6886"/>
    <w:rsid w:val="00EC70CF"/>
    <w:rsid w:val="00EC7F63"/>
    <w:rsid w:val="00ED0961"/>
    <w:rsid w:val="00ED3E9C"/>
    <w:rsid w:val="00ED5349"/>
    <w:rsid w:val="00ED5DB3"/>
    <w:rsid w:val="00EE69BD"/>
    <w:rsid w:val="00EE7679"/>
    <w:rsid w:val="00EF7F7D"/>
    <w:rsid w:val="00F02804"/>
    <w:rsid w:val="00F06BFB"/>
    <w:rsid w:val="00F07298"/>
    <w:rsid w:val="00F11F68"/>
    <w:rsid w:val="00F207AE"/>
    <w:rsid w:val="00F34B42"/>
    <w:rsid w:val="00F375C9"/>
    <w:rsid w:val="00F41C3D"/>
    <w:rsid w:val="00F42F15"/>
    <w:rsid w:val="00F50667"/>
    <w:rsid w:val="00F62490"/>
    <w:rsid w:val="00F8434F"/>
    <w:rsid w:val="00F86FDF"/>
    <w:rsid w:val="00F874DD"/>
    <w:rsid w:val="00F93375"/>
    <w:rsid w:val="00F95F19"/>
    <w:rsid w:val="00FB7713"/>
    <w:rsid w:val="00FC2038"/>
    <w:rsid w:val="00FC21CF"/>
    <w:rsid w:val="00FC2AC7"/>
    <w:rsid w:val="00FC6166"/>
    <w:rsid w:val="00FC7701"/>
    <w:rsid w:val="00FD1B50"/>
    <w:rsid w:val="00FE3A4A"/>
    <w:rsid w:val="00FE78F4"/>
    <w:rsid w:val="00FF200D"/>
    <w:rsid w:val="00FF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06F9"/>
  <w15:chartTrackingRefBased/>
  <w15:docId w15:val="{F35AFAA7-FFE1-4602-A370-74F9A25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2A"/>
  </w:style>
  <w:style w:type="paragraph" w:styleId="Heading1">
    <w:name w:val="heading 1"/>
    <w:basedOn w:val="Normal"/>
    <w:next w:val="Normal"/>
    <w:link w:val="Heading1Char"/>
    <w:uiPriority w:val="9"/>
    <w:qFormat/>
    <w:rsid w:val="000159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59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59F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59F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59F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5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F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59F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59F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59F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59F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5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F9"/>
    <w:rPr>
      <w:rFonts w:eastAsiaTheme="majorEastAsia" w:cstheme="majorBidi"/>
      <w:color w:val="272727" w:themeColor="text1" w:themeTint="D8"/>
    </w:rPr>
  </w:style>
  <w:style w:type="paragraph" w:styleId="Title">
    <w:name w:val="Title"/>
    <w:basedOn w:val="Normal"/>
    <w:next w:val="Normal"/>
    <w:link w:val="TitleChar"/>
    <w:uiPriority w:val="10"/>
    <w:qFormat/>
    <w:rsid w:val="00015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F9"/>
    <w:pPr>
      <w:spacing w:before="160"/>
      <w:jc w:val="center"/>
    </w:pPr>
    <w:rPr>
      <w:i/>
      <w:iCs/>
      <w:color w:val="404040" w:themeColor="text1" w:themeTint="BF"/>
    </w:rPr>
  </w:style>
  <w:style w:type="character" w:customStyle="1" w:styleId="QuoteChar">
    <w:name w:val="Quote Char"/>
    <w:basedOn w:val="DefaultParagraphFont"/>
    <w:link w:val="Quote"/>
    <w:uiPriority w:val="29"/>
    <w:rsid w:val="000159F9"/>
    <w:rPr>
      <w:i/>
      <w:iCs/>
      <w:color w:val="404040" w:themeColor="text1" w:themeTint="BF"/>
    </w:rPr>
  </w:style>
  <w:style w:type="paragraph" w:styleId="ListParagraph">
    <w:name w:val="List Paragraph"/>
    <w:basedOn w:val="Normal"/>
    <w:uiPriority w:val="34"/>
    <w:qFormat/>
    <w:rsid w:val="000159F9"/>
    <w:pPr>
      <w:ind w:left="720"/>
      <w:contextualSpacing/>
    </w:pPr>
  </w:style>
  <w:style w:type="character" w:styleId="IntenseEmphasis">
    <w:name w:val="Intense Emphasis"/>
    <w:basedOn w:val="DefaultParagraphFont"/>
    <w:uiPriority w:val="21"/>
    <w:qFormat/>
    <w:rsid w:val="000159F9"/>
    <w:rPr>
      <w:i/>
      <w:iCs/>
      <w:color w:val="365F91" w:themeColor="accent1" w:themeShade="BF"/>
    </w:rPr>
  </w:style>
  <w:style w:type="paragraph" w:styleId="IntenseQuote">
    <w:name w:val="Intense Quote"/>
    <w:basedOn w:val="Normal"/>
    <w:next w:val="Normal"/>
    <w:link w:val="IntenseQuoteChar"/>
    <w:uiPriority w:val="30"/>
    <w:qFormat/>
    <w:rsid w:val="000159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59F9"/>
    <w:rPr>
      <w:i/>
      <w:iCs/>
      <w:color w:val="365F91" w:themeColor="accent1" w:themeShade="BF"/>
    </w:rPr>
  </w:style>
  <w:style w:type="character" w:styleId="IntenseReference">
    <w:name w:val="Intense Reference"/>
    <w:basedOn w:val="DefaultParagraphFont"/>
    <w:uiPriority w:val="32"/>
    <w:qFormat/>
    <w:rsid w:val="000159F9"/>
    <w:rPr>
      <w:b/>
      <w:bCs/>
      <w:smallCaps/>
      <w:color w:val="365F91" w:themeColor="accent1" w:themeShade="BF"/>
      <w:spacing w:val="5"/>
    </w:rPr>
  </w:style>
  <w:style w:type="paragraph" w:styleId="Revision">
    <w:name w:val="Revision"/>
    <w:hidden/>
    <w:uiPriority w:val="99"/>
    <w:semiHidden/>
    <w:rsid w:val="00785D21"/>
    <w:pPr>
      <w:spacing w:after="0" w:line="240" w:lineRule="auto"/>
    </w:pPr>
  </w:style>
  <w:style w:type="table" w:styleId="TableGrid">
    <w:name w:val="Table Grid"/>
    <w:basedOn w:val="TableNormal"/>
    <w:uiPriority w:val="39"/>
    <w:rsid w:val="0036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1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8DF"/>
    <w:rPr>
      <w:sz w:val="20"/>
      <w:szCs w:val="20"/>
    </w:rPr>
  </w:style>
  <w:style w:type="character" w:styleId="FootnoteReference">
    <w:name w:val="footnote reference"/>
    <w:basedOn w:val="DefaultParagraphFont"/>
    <w:uiPriority w:val="99"/>
    <w:semiHidden/>
    <w:unhideWhenUsed/>
    <w:rsid w:val="003018DF"/>
    <w:rPr>
      <w:vertAlign w:val="superscript"/>
    </w:rPr>
  </w:style>
  <w:style w:type="paragraph" w:styleId="Header">
    <w:name w:val="header"/>
    <w:basedOn w:val="Normal"/>
    <w:link w:val="HeaderChar"/>
    <w:uiPriority w:val="99"/>
    <w:unhideWhenUsed/>
    <w:rsid w:val="00A9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F48"/>
  </w:style>
  <w:style w:type="paragraph" w:styleId="Footer">
    <w:name w:val="footer"/>
    <w:basedOn w:val="Normal"/>
    <w:link w:val="FooterChar"/>
    <w:uiPriority w:val="99"/>
    <w:unhideWhenUsed/>
    <w:rsid w:val="00A9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F48"/>
  </w:style>
  <w:style w:type="table" w:styleId="ListTable3-Accent2">
    <w:name w:val="List Table 3 Accent 2"/>
    <w:basedOn w:val="TableNormal"/>
    <w:uiPriority w:val="48"/>
    <w:rsid w:val="00F8434F"/>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8434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2">
    <w:name w:val="List Table 4 Accent 2"/>
    <w:basedOn w:val="TableNormal"/>
    <w:uiPriority w:val="49"/>
    <w:rsid w:val="00F8434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F84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843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34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E4425B"/>
    <w:rPr>
      <w:color w:val="0000FF" w:themeColor="hyperlink"/>
      <w:u w:val="single"/>
    </w:rPr>
  </w:style>
  <w:style w:type="character" w:styleId="UnresolvedMention">
    <w:name w:val="Unresolved Mention"/>
    <w:basedOn w:val="DefaultParagraphFont"/>
    <w:uiPriority w:val="99"/>
    <w:semiHidden/>
    <w:unhideWhenUsed/>
    <w:rsid w:val="00E4425B"/>
    <w:rPr>
      <w:color w:val="605E5C"/>
      <w:shd w:val="clear" w:color="auto" w:fill="E1DFDD"/>
    </w:rPr>
  </w:style>
  <w:style w:type="character" w:styleId="CommentReference">
    <w:name w:val="annotation reference"/>
    <w:basedOn w:val="DefaultParagraphFont"/>
    <w:uiPriority w:val="99"/>
    <w:semiHidden/>
    <w:unhideWhenUsed/>
    <w:rsid w:val="00CE1365"/>
    <w:rPr>
      <w:sz w:val="16"/>
      <w:szCs w:val="16"/>
    </w:rPr>
  </w:style>
  <w:style w:type="paragraph" w:styleId="CommentText">
    <w:name w:val="annotation text"/>
    <w:basedOn w:val="Normal"/>
    <w:link w:val="CommentTextChar"/>
    <w:uiPriority w:val="99"/>
    <w:unhideWhenUsed/>
    <w:rsid w:val="00CE1365"/>
    <w:pPr>
      <w:spacing w:line="240" w:lineRule="auto"/>
    </w:pPr>
    <w:rPr>
      <w:sz w:val="20"/>
      <w:szCs w:val="20"/>
    </w:rPr>
  </w:style>
  <w:style w:type="character" w:customStyle="1" w:styleId="CommentTextChar">
    <w:name w:val="Comment Text Char"/>
    <w:basedOn w:val="DefaultParagraphFont"/>
    <w:link w:val="CommentText"/>
    <w:uiPriority w:val="99"/>
    <w:rsid w:val="00CE1365"/>
    <w:rPr>
      <w:sz w:val="20"/>
      <w:szCs w:val="20"/>
    </w:rPr>
  </w:style>
  <w:style w:type="paragraph" w:styleId="CommentSubject">
    <w:name w:val="annotation subject"/>
    <w:basedOn w:val="CommentText"/>
    <w:next w:val="CommentText"/>
    <w:link w:val="CommentSubjectChar"/>
    <w:uiPriority w:val="99"/>
    <w:semiHidden/>
    <w:unhideWhenUsed/>
    <w:rsid w:val="00CE1365"/>
    <w:rPr>
      <w:b/>
      <w:bCs/>
    </w:rPr>
  </w:style>
  <w:style w:type="character" w:customStyle="1" w:styleId="CommentSubjectChar">
    <w:name w:val="Comment Subject Char"/>
    <w:basedOn w:val="CommentTextChar"/>
    <w:link w:val="CommentSubject"/>
    <w:uiPriority w:val="99"/>
    <w:semiHidden/>
    <w:rsid w:val="00CE1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269">
      <w:bodyDiv w:val="1"/>
      <w:marLeft w:val="0"/>
      <w:marRight w:val="0"/>
      <w:marTop w:val="0"/>
      <w:marBottom w:val="0"/>
      <w:divBdr>
        <w:top w:val="none" w:sz="0" w:space="0" w:color="auto"/>
        <w:left w:val="none" w:sz="0" w:space="0" w:color="auto"/>
        <w:bottom w:val="none" w:sz="0" w:space="0" w:color="auto"/>
        <w:right w:val="none" w:sz="0" w:space="0" w:color="auto"/>
      </w:divBdr>
    </w:div>
    <w:div w:id="659894387">
      <w:bodyDiv w:val="1"/>
      <w:marLeft w:val="0"/>
      <w:marRight w:val="0"/>
      <w:marTop w:val="0"/>
      <w:marBottom w:val="0"/>
      <w:divBdr>
        <w:top w:val="none" w:sz="0" w:space="0" w:color="auto"/>
        <w:left w:val="none" w:sz="0" w:space="0" w:color="auto"/>
        <w:bottom w:val="none" w:sz="0" w:space="0" w:color="auto"/>
        <w:right w:val="none" w:sz="0" w:space="0" w:color="auto"/>
      </w:divBdr>
    </w:div>
    <w:div w:id="763067034">
      <w:bodyDiv w:val="1"/>
      <w:marLeft w:val="0"/>
      <w:marRight w:val="0"/>
      <w:marTop w:val="0"/>
      <w:marBottom w:val="0"/>
      <w:divBdr>
        <w:top w:val="none" w:sz="0" w:space="0" w:color="auto"/>
        <w:left w:val="none" w:sz="0" w:space="0" w:color="auto"/>
        <w:bottom w:val="none" w:sz="0" w:space="0" w:color="auto"/>
        <w:right w:val="none" w:sz="0" w:space="0" w:color="auto"/>
      </w:divBdr>
    </w:div>
    <w:div w:id="16067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so.com/documents/2023-annual-report-on-market-issues-and-performance.pdf"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coleRamos\AppData\Local\Microsoft\Windows\INetCache\Content.Outlook\BBS7WWJ2\CAISO%20Negative%20Pricing%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coleRamos\AppData\Local\Microsoft\Windows\INetCache\Content.Outlook\BBS7WWJ2\CAISO%20Negative%20Pricing%20Dat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NicoleRamos\Downloads\CAISO%20Negative%20Pricing%20Data.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icoleRamos\Downloads\CAISO%20Negative%20Pricing%20Data.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icoleRamos\Downloads\CAISO%20Negative%20Pricing%20Data.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coleRamos\AppData\Local\Microsoft\Windows\INetCache\Content.Outlook\BBS7WWJ2\CAISO%20Negative%20Pricing%20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Data.xlsx]PIVOT_TABLES!PivotTable6</c:name>
    <c:fmtId val="-1"/>
  </c:pivotSource>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b="1"/>
              <a:t>Cumulative Price Paid from Suppliers for Negatively Priced Generation from January1, 2022 to March 31, 2025</a:t>
            </a:r>
          </a:p>
        </c:rich>
      </c:tx>
      <c:layout>
        <c:manualLayout>
          <c:xMode val="edge"/>
          <c:yMode val="edge"/>
          <c:x val="0.14268153980752404"/>
          <c:y val="2.3557126030624265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266908944074299"/>
          <c:y val="0.20789194636889471"/>
          <c:w val="0.5668720977185544"/>
          <c:h val="0.69350169568026609"/>
        </c:manualLayout>
      </c:layout>
      <c:barChart>
        <c:barDir val="col"/>
        <c:grouping val="clustered"/>
        <c:varyColors val="0"/>
        <c:ser>
          <c:idx val="0"/>
          <c:order val="0"/>
          <c:tx>
            <c:strRef>
              <c:f>PIVOT_TABLES!$Y$3</c:f>
              <c:strCache>
                <c:ptCount val="1"/>
                <c:pt idx="0">
                  <c:v>Generation Subject to Negative Pricing</c:v>
                </c:pt>
              </c:strCache>
            </c:strRef>
          </c:tx>
          <c:spPr>
            <a:solidFill>
              <a:schemeClr val="accent1"/>
            </a:solidFill>
            <a:ln>
              <a:noFill/>
            </a:ln>
            <a:effectLst/>
          </c:spPr>
          <c:invertIfNegative val="0"/>
          <c:cat>
            <c:strRef>
              <c:f>PIVOT_TABLES!$X$4:$X$8</c:f>
              <c:strCache>
                <c:ptCount val="4"/>
                <c:pt idx="0">
                  <c:v>2022</c:v>
                </c:pt>
                <c:pt idx="1">
                  <c:v>2023</c:v>
                </c:pt>
                <c:pt idx="2">
                  <c:v>2024</c:v>
                </c:pt>
                <c:pt idx="3">
                  <c:v>2025</c:v>
                </c:pt>
              </c:strCache>
            </c:strRef>
          </c:cat>
          <c:val>
            <c:numRef>
              <c:f>PIVOT_TABLES!$Y$4:$Y$8</c:f>
              <c:numCache>
                <c:formatCode>_(* #,##0_);_(* \(#,##0\);_(* "-"??_);_(@_)</c:formatCode>
                <c:ptCount val="4"/>
                <c:pt idx="0">
                  <c:v>713599.92688693572</c:v>
                </c:pt>
                <c:pt idx="1">
                  <c:v>4413864.9911252167</c:v>
                </c:pt>
                <c:pt idx="2">
                  <c:v>17760940.86986044</c:v>
                </c:pt>
                <c:pt idx="3">
                  <c:v>21560546.950273156</c:v>
                </c:pt>
              </c:numCache>
            </c:numRef>
          </c:val>
          <c:extLst>
            <c:ext xmlns:c16="http://schemas.microsoft.com/office/drawing/2014/chart" uri="{C3380CC4-5D6E-409C-BE32-E72D297353CC}">
              <c16:uniqueId val="{00000000-B820-401E-9707-353284EBE4F5}"/>
            </c:ext>
          </c:extLst>
        </c:ser>
        <c:dLbls>
          <c:showLegendKey val="0"/>
          <c:showVal val="0"/>
          <c:showCatName val="0"/>
          <c:showSerName val="0"/>
          <c:showPercent val="0"/>
          <c:showBubbleSize val="0"/>
        </c:dLbls>
        <c:gapWidth val="269"/>
        <c:overlap val="-27"/>
        <c:axId val="695665663"/>
        <c:axId val="695692063"/>
      </c:barChart>
      <c:lineChart>
        <c:grouping val="standard"/>
        <c:varyColors val="0"/>
        <c:ser>
          <c:idx val="1"/>
          <c:order val="1"/>
          <c:tx>
            <c:strRef>
              <c:f>PIVOT_TABLES!$Z$3</c:f>
              <c:strCache>
                <c:ptCount val="1"/>
                <c:pt idx="0">
                  <c:v>Price Paid from Generator to Load</c:v>
                </c:pt>
              </c:strCache>
            </c:strRef>
          </c:tx>
          <c:spPr>
            <a:ln w="38100" cap="rnd">
              <a:solidFill>
                <a:schemeClr val="accent2"/>
              </a:solidFill>
              <a:round/>
            </a:ln>
            <a:effectLst/>
          </c:spPr>
          <c:marker>
            <c:symbol val="circle"/>
            <c:size val="8"/>
            <c:spPr>
              <a:solidFill>
                <a:schemeClr val="accent2"/>
              </a:solidFill>
              <a:ln>
                <a:noFill/>
              </a:ln>
              <a:effectLst/>
            </c:spPr>
          </c:marker>
          <c:cat>
            <c:strRef>
              <c:f>PIVOT_TABLES!$X$4:$X$8</c:f>
              <c:strCache>
                <c:ptCount val="4"/>
                <c:pt idx="0">
                  <c:v>2022</c:v>
                </c:pt>
                <c:pt idx="1">
                  <c:v>2023</c:v>
                </c:pt>
                <c:pt idx="2">
                  <c:v>2024</c:v>
                </c:pt>
                <c:pt idx="3">
                  <c:v>2025</c:v>
                </c:pt>
              </c:strCache>
            </c:strRef>
          </c:cat>
          <c:val>
            <c:numRef>
              <c:f>PIVOT_TABLES!$Z$4:$Z$8</c:f>
              <c:numCache>
                <c:formatCode>"$"#,##0</c:formatCode>
                <c:ptCount val="4"/>
                <c:pt idx="0">
                  <c:v>793801.97895620717</c:v>
                </c:pt>
                <c:pt idx="1">
                  <c:v>24071724.895092968</c:v>
                </c:pt>
                <c:pt idx="2">
                  <c:v>183955391.51497319</c:v>
                </c:pt>
                <c:pt idx="3">
                  <c:v>226606744.465103</c:v>
                </c:pt>
              </c:numCache>
            </c:numRef>
          </c:val>
          <c:smooth val="0"/>
          <c:extLst>
            <c:ext xmlns:c16="http://schemas.microsoft.com/office/drawing/2014/chart" uri="{C3380CC4-5D6E-409C-BE32-E72D297353CC}">
              <c16:uniqueId val="{00000001-B820-401E-9707-353284EBE4F5}"/>
            </c:ext>
          </c:extLst>
        </c:ser>
        <c:dLbls>
          <c:showLegendKey val="0"/>
          <c:showVal val="0"/>
          <c:showCatName val="0"/>
          <c:showSerName val="0"/>
          <c:showPercent val="0"/>
          <c:showBubbleSize val="0"/>
        </c:dLbls>
        <c:marker val="1"/>
        <c:smooth val="0"/>
        <c:axId val="695674783"/>
        <c:axId val="695692543"/>
      </c:lineChart>
      <c:catAx>
        <c:axId val="695665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695692063"/>
        <c:crosses val="autoZero"/>
        <c:auto val="1"/>
        <c:lblAlgn val="ctr"/>
        <c:lblOffset val="100"/>
        <c:noMultiLvlLbl val="0"/>
      </c:catAx>
      <c:valAx>
        <c:axId val="69569206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95665663"/>
        <c:crosses val="autoZero"/>
        <c:crossBetween val="between"/>
      </c:valAx>
      <c:valAx>
        <c:axId val="695692543"/>
        <c:scaling>
          <c:orientation val="minMax"/>
        </c:scaling>
        <c:delete val="0"/>
        <c:axPos val="r"/>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95674783"/>
        <c:crosses val="max"/>
        <c:crossBetween val="between"/>
      </c:valAx>
      <c:catAx>
        <c:axId val="695674783"/>
        <c:scaling>
          <c:orientation val="minMax"/>
        </c:scaling>
        <c:delete val="1"/>
        <c:axPos val="b"/>
        <c:numFmt formatCode="General" sourceLinked="1"/>
        <c:majorTickMark val="out"/>
        <c:minorTickMark val="none"/>
        <c:tickLblPos val="nextTo"/>
        <c:crossAx val="695692543"/>
        <c:crosses val="autoZero"/>
        <c:auto val="1"/>
        <c:lblAlgn val="ctr"/>
        <c:lblOffset val="100"/>
        <c:noMultiLvlLbl val="0"/>
      </c:catAx>
      <c:spPr>
        <a:noFill/>
        <a:ln>
          <a:noFill/>
        </a:ln>
        <a:effectLst/>
      </c:spPr>
    </c:plotArea>
    <c:legend>
      <c:legendPos val="r"/>
      <c:layout>
        <c:manualLayout>
          <c:xMode val="edge"/>
          <c:yMode val="edge"/>
          <c:x val="0.82825728514704888"/>
          <c:y val="0.38163670040285269"/>
          <c:w val="0.15892220203243826"/>
          <c:h val="0.377481221757069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Data.xlsx]PIVOT_TABLES!PivotTable10</c:name>
    <c:fmtId val="-1"/>
  </c:pivotSource>
  <c:chart>
    <c:title>
      <c:tx>
        <c:rich>
          <a:bodyPr rot="0" spcFirstLastPara="1" vertOverflow="ellipsis" vert="horz" wrap="square" anchor="ctr" anchorCtr="1"/>
          <a:lstStyle/>
          <a:p>
            <a:pPr>
              <a:defRPr sz="1400" b="1" i="0" u="none" strike="noStrike" kern="1200" spc="0" baseline="0">
                <a:ln>
                  <a:solidFill>
                    <a:schemeClr val="accent1"/>
                  </a:solidFill>
                </a:ln>
                <a:solidFill>
                  <a:schemeClr val="tx1">
                    <a:lumMod val="65000"/>
                    <a:lumOff val="35000"/>
                  </a:schemeClr>
                </a:solidFill>
                <a:latin typeface="+mn-lt"/>
                <a:ea typeface="+mn-ea"/>
                <a:cs typeface="+mn-cs"/>
              </a:defRPr>
            </a:pPr>
            <a:r>
              <a:rPr lang="en-US" b="1">
                <a:ln>
                  <a:solidFill>
                    <a:schemeClr val="accent1"/>
                  </a:solidFill>
                </a:ln>
              </a:rPr>
              <a:t>Generation Subjected to Negative Energy Pricing</a:t>
            </a:r>
            <a:r>
              <a:rPr lang="en-US" b="1" baseline="0">
                <a:ln>
                  <a:solidFill>
                    <a:schemeClr val="accent1"/>
                  </a:solidFill>
                </a:ln>
              </a:rPr>
              <a:t> in Q1 2022 - 2025</a:t>
            </a:r>
            <a:endParaRPr lang="en-US" b="1">
              <a:ln>
                <a:solidFill>
                  <a:schemeClr val="accent1"/>
                </a:solidFill>
              </a:ln>
            </a:endParaRPr>
          </a:p>
        </c:rich>
      </c:tx>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3"/>
        <c:spPr>
          <a:ln w="28575" cap="rnd">
            <a:solidFill>
              <a:schemeClr val="accent1"/>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14"/>
        <c:spPr>
          <a:ln w="28575" cap="rnd">
            <a:solidFill>
              <a:schemeClr val="accent1"/>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6"/>
        <c:spPr>
          <a:ln w="28575" cap="rnd">
            <a:solidFill>
              <a:schemeClr val="accent2"/>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17"/>
        <c:spPr>
          <a:ln w="28575" cap="rnd">
            <a:solidFill>
              <a:schemeClr val="accent3"/>
            </a:solidFill>
            <a:round/>
          </a:ln>
          <a:effectLst/>
        </c:spPr>
        <c:marker>
          <c:symbol val="circle"/>
          <c:size val="5"/>
          <c:spPr>
            <a:solidFill>
              <a:schemeClr val="accent3"/>
            </a:solidFill>
            <a:ln w="9525">
              <a:solidFill>
                <a:schemeClr val="accent3"/>
              </a:solidFill>
            </a:ln>
            <a:effectLst/>
          </c:spPr>
        </c:marker>
        <c:dLbl>
          <c:idx val="0"/>
          <c:delete val="1"/>
          <c:extLst>
            <c:ext xmlns:c15="http://schemas.microsoft.com/office/drawing/2012/chart" uri="{CE6537A1-D6FC-4f65-9D91-7224C49458BB}"/>
          </c:extLst>
        </c:dLbl>
      </c:pivotFmt>
      <c:pivotFmt>
        <c:idx val="18"/>
        <c:marker>
          <c:symbol val="none"/>
        </c:marker>
        <c:dLbl>
          <c:idx val="0"/>
          <c:delete val="1"/>
          <c:extLst>
            <c:ext xmlns:c15="http://schemas.microsoft.com/office/drawing/2012/chart" uri="{CE6537A1-D6FC-4f65-9D91-7224C49458BB}"/>
          </c:extLst>
        </c:dLbl>
      </c:pivotFmt>
      <c:pivotFmt>
        <c:idx val="19"/>
        <c:dLbl>
          <c:idx val="0"/>
          <c:delete val="1"/>
          <c:extLst>
            <c:ext xmlns:c15="http://schemas.microsoft.com/office/drawing/2012/chart" uri="{CE6537A1-D6FC-4f65-9D91-7224C49458BB}"/>
          </c:extLst>
        </c:dLbl>
      </c:pivotFmt>
      <c:pivotFmt>
        <c:idx val="20"/>
        <c:marker>
          <c:symbol val="none"/>
        </c:marker>
        <c:dLbl>
          <c:idx val="0"/>
          <c:delete val="1"/>
          <c:extLst>
            <c:ext xmlns:c15="http://schemas.microsoft.com/office/drawing/2012/chart" uri="{CE6537A1-D6FC-4f65-9D91-7224C49458BB}"/>
          </c:extLst>
        </c:dLbl>
      </c:pivotFmt>
      <c:pivotFmt>
        <c:idx val="21"/>
        <c:spPr>
          <a:ln w="28575" cap="rnd">
            <a:solidFill>
              <a:schemeClr val="accent2"/>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22"/>
        <c:dLbl>
          <c:idx val="0"/>
          <c:delete val="1"/>
          <c:extLst>
            <c:ext xmlns:c15="http://schemas.microsoft.com/office/drawing/2012/chart" uri="{CE6537A1-D6FC-4f65-9D91-7224C49458BB}"/>
          </c:extLst>
        </c:dLbl>
      </c:pivotFmt>
      <c:pivotFmt>
        <c:idx val="23"/>
        <c:marker>
          <c:symbol val="none"/>
        </c:marker>
        <c:dLbl>
          <c:idx val="0"/>
          <c:delete val="1"/>
          <c:extLst>
            <c:ext xmlns:c15="http://schemas.microsoft.com/office/drawing/2012/chart" uri="{CE6537A1-D6FC-4f65-9D91-7224C49458BB}"/>
          </c:extLst>
        </c:dLbl>
      </c:pivotFmt>
      <c:pivotFmt>
        <c:idx val="24"/>
        <c:spPr>
          <a:ln w="28575" cap="rnd">
            <a:solidFill>
              <a:schemeClr val="accent2"/>
            </a:solidFill>
            <a:round/>
          </a:ln>
          <a:effectLst/>
        </c:spPr>
        <c:marker>
          <c:symbol val="circle"/>
          <c:size val="5"/>
          <c:spPr>
            <a:solidFill>
              <a:schemeClr val="accent2"/>
            </a:solidFill>
            <a:ln w="9525">
              <a:solidFill>
                <a:schemeClr val="accent2"/>
              </a:solidFill>
            </a:ln>
            <a:effectLst/>
          </c:spPr>
        </c:marker>
        <c:dLbl>
          <c:idx val="0"/>
          <c:delete val="1"/>
          <c:extLst>
            <c:ext xmlns:c15="http://schemas.microsoft.com/office/drawing/2012/chart" uri="{CE6537A1-D6FC-4f65-9D91-7224C49458BB}"/>
          </c:extLst>
        </c:dLbl>
      </c:pivotFmt>
      <c:pivotFmt>
        <c:idx val="25"/>
        <c:dLbl>
          <c:idx val="0"/>
          <c:delete val="1"/>
          <c:extLst>
            <c:ext xmlns:c15="http://schemas.microsoft.com/office/drawing/2012/chart" uri="{CE6537A1-D6FC-4f65-9D91-7224C49458BB}"/>
          </c:extLst>
        </c:dLbl>
      </c:pivotFmt>
    </c:pivotFmts>
    <c:plotArea>
      <c:layout>
        <c:manualLayout>
          <c:layoutTarget val="inner"/>
          <c:xMode val="edge"/>
          <c:yMode val="edge"/>
          <c:x val="0.16323911434147656"/>
          <c:y val="0.20214889838297026"/>
          <c:w val="0.54264402045898108"/>
          <c:h val="0.5180323033359"/>
        </c:manualLayout>
      </c:layout>
      <c:barChart>
        <c:barDir val="col"/>
        <c:grouping val="clustered"/>
        <c:varyColors val="0"/>
        <c:ser>
          <c:idx val="0"/>
          <c:order val="0"/>
          <c:tx>
            <c:strRef>
              <c:f>PIVOT_TABLES!$G$3</c:f>
              <c:strCache>
                <c:ptCount val="1"/>
                <c:pt idx="0">
                  <c:v>Generation Subject to Negative Pricing</c:v>
                </c:pt>
              </c:strCache>
            </c:strRef>
          </c:tx>
          <c:invertIfNegative val="0"/>
          <c:cat>
            <c:multiLvlStrRef>
              <c:f>PIVOT_TABLES!$F$4:$F$21</c:f>
              <c:multiLvlStrCache>
                <c:ptCount val="12"/>
                <c:lvl>
                  <c:pt idx="0">
                    <c:v>Jan</c:v>
                  </c:pt>
                  <c:pt idx="1">
                    <c:v>Feb</c:v>
                  </c:pt>
                  <c:pt idx="2">
                    <c:v>Mar</c:v>
                  </c:pt>
                  <c:pt idx="3">
                    <c:v>Jan</c:v>
                  </c:pt>
                  <c:pt idx="4">
                    <c:v>Feb</c:v>
                  </c:pt>
                  <c:pt idx="5">
                    <c:v>Mar</c:v>
                  </c:pt>
                  <c:pt idx="6">
                    <c:v>Jan</c:v>
                  </c:pt>
                  <c:pt idx="7">
                    <c:v>Feb</c:v>
                  </c:pt>
                  <c:pt idx="8">
                    <c:v>Mar</c:v>
                  </c:pt>
                  <c:pt idx="9">
                    <c:v>Jan</c:v>
                  </c:pt>
                  <c:pt idx="10">
                    <c:v>Feb</c:v>
                  </c:pt>
                  <c:pt idx="11">
                    <c:v>Mar</c:v>
                  </c:pt>
                </c:lvl>
                <c:lvl>
                  <c:pt idx="0">
                    <c:v>2022</c:v>
                  </c:pt>
                  <c:pt idx="3">
                    <c:v>2023</c:v>
                  </c:pt>
                  <c:pt idx="6">
                    <c:v>2024</c:v>
                  </c:pt>
                  <c:pt idx="9">
                    <c:v>2025</c:v>
                  </c:pt>
                </c:lvl>
                <c:lvl>
                  <c:pt idx="0">
                    <c:v>Qtr1</c:v>
                  </c:pt>
                </c:lvl>
              </c:multiLvlStrCache>
            </c:multiLvlStrRef>
          </c:cat>
          <c:val>
            <c:numRef>
              <c:f>PIVOT_TABLES!$G$4:$G$21</c:f>
              <c:numCache>
                <c:formatCode>_(* #,##0_);_(* \(#,##0\);_(* "-"??_);_(@_)</c:formatCode>
                <c:ptCount val="12"/>
                <c:pt idx="0">
                  <c:v>0</c:v>
                </c:pt>
                <c:pt idx="1">
                  <c:v>0</c:v>
                </c:pt>
                <c:pt idx="2">
                  <c:v>227795.16230143225</c:v>
                </c:pt>
                <c:pt idx="3">
                  <c:v>0</c:v>
                </c:pt>
                <c:pt idx="4">
                  <c:v>0</c:v>
                </c:pt>
                <c:pt idx="5">
                  <c:v>234450.14097656248</c:v>
                </c:pt>
                <c:pt idx="6">
                  <c:v>0</c:v>
                </c:pt>
                <c:pt idx="7">
                  <c:v>442782.9978710938</c:v>
                </c:pt>
                <c:pt idx="8">
                  <c:v>3098229.2831837651</c:v>
                </c:pt>
                <c:pt idx="9">
                  <c:v>0</c:v>
                </c:pt>
                <c:pt idx="10">
                  <c:v>876061.68054596859</c:v>
                </c:pt>
                <c:pt idx="11">
                  <c:v>2923544.3998667458</c:v>
                </c:pt>
              </c:numCache>
            </c:numRef>
          </c:val>
          <c:extLst>
            <c:ext xmlns:c16="http://schemas.microsoft.com/office/drawing/2014/chart" uri="{C3380CC4-5D6E-409C-BE32-E72D297353CC}">
              <c16:uniqueId val="{00000000-99DB-4461-9122-4833679517F2}"/>
            </c:ext>
          </c:extLst>
        </c:ser>
        <c:dLbls>
          <c:showLegendKey val="0"/>
          <c:showVal val="0"/>
          <c:showCatName val="0"/>
          <c:showSerName val="0"/>
          <c:showPercent val="0"/>
          <c:showBubbleSize val="0"/>
        </c:dLbls>
        <c:gapWidth val="219"/>
        <c:axId val="813642927"/>
        <c:axId val="813651087"/>
      </c:barChart>
      <c:lineChart>
        <c:grouping val="standard"/>
        <c:varyColors val="0"/>
        <c:ser>
          <c:idx val="1"/>
          <c:order val="1"/>
          <c:tx>
            <c:strRef>
              <c:f>PIVOT_TABLES!$H$3</c:f>
              <c:strCache>
                <c:ptCount val="1"/>
                <c:pt idx="0">
                  <c:v>Total Hours Priced $0 to -$26/MWh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PIVOT_TABLES!$F$4:$F$21</c:f>
              <c:multiLvlStrCache>
                <c:ptCount val="12"/>
                <c:lvl>
                  <c:pt idx="0">
                    <c:v>Jan</c:v>
                  </c:pt>
                  <c:pt idx="1">
                    <c:v>Feb</c:v>
                  </c:pt>
                  <c:pt idx="2">
                    <c:v>Mar</c:v>
                  </c:pt>
                  <c:pt idx="3">
                    <c:v>Jan</c:v>
                  </c:pt>
                  <c:pt idx="4">
                    <c:v>Feb</c:v>
                  </c:pt>
                  <c:pt idx="5">
                    <c:v>Mar</c:v>
                  </c:pt>
                  <c:pt idx="6">
                    <c:v>Jan</c:v>
                  </c:pt>
                  <c:pt idx="7">
                    <c:v>Feb</c:v>
                  </c:pt>
                  <c:pt idx="8">
                    <c:v>Mar</c:v>
                  </c:pt>
                  <c:pt idx="9">
                    <c:v>Jan</c:v>
                  </c:pt>
                  <c:pt idx="10">
                    <c:v>Feb</c:v>
                  </c:pt>
                  <c:pt idx="11">
                    <c:v>Mar</c:v>
                  </c:pt>
                </c:lvl>
                <c:lvl>
                  <c:pt idx="0">
                    <c:v>2022</c:v>
                  </c:pt>
                  <c:pt idx="3">
                    <c:v>2023</c:v>
                  </c:pt>
                  <c:pt idx="6">
                    <c:v>2024</c:v>
                  </c:pt>
                  <c:pt idx="9">
                    <c:v>2025</c:v>
                  </c:pt>
                </c:lvl>
                <c:lvl>
                  <c:pt idx="0">
                    <c:v>Qtr1</c:v>
                  </c:pt>
                </c:lvl>
              </c:multiLvlStrCache>
            </c:multiLvlStrRef>
          </c:cat>
          <c:val>
            <c:numRef>
              <c:f>PIVOT_TABLES!$H$4:$H$21</c:f>
              <c:numCache>
                <c:formatCode>#,##0;\-#,##0</c:formatCode>
                <c:ptCount val="12"/>
                <c:pt idx="0">
                  <c:v>0</c:v>
                </c:pt>
                <c:pt idx="1">
                  <c:v>0</c:v>
                </c:pt>
                <c:pt idx="2">
                  <c:v>14</c:v>
                </c:pt>
                <c:pt idx="3">
                  <c:v>0</c:v>
                </c:pt>
                <c:pt idx="4">
                  <c:v>0</c:v>
                </c:pt>
                <c:pt idx="5">
                  <c:v>14</c:v>
                </c:pt>
                <c:pt idx="6">
                  <c:v>0</c:v>
                </c:pt>
                <c:pt idx="7">
                  <c:v>22</c:v>
                </c:pt>
                <c:pt idx="8">
                  <c:v>154</c:v>
                </c:pt>
                <c:pt idx="9">
                  <c:v>0</c:v>
                </c:pt>
                <c:pt idx="10">
                  <c:v>42</c:v>
                </c:pt>
                <c:pt idx="11">
                  <c:v>119</c:v>
                </c:pt>
              </c:numCache>
            </c:numRef>
          </c:val>
          <c:smooth val="0"/>
          <c:extLst>
            <c:ext xmlns:c16="http://schemas.microsoft.com/office/drawing/2014/chart" uri="{C3380CC4-5D6E-409C-BE32-E72D297353CC}">
              <c16:uniqueId val="{00000001-99DB-4461-9122-4833679517F2}"/>
            </c:ext>
          </c:extLst>
        </c:ser>
        <c:ser>
          <c:idx val="2"/>
          <c:order val="2"/>
          <c:tx>
            <c:strRef>
              <c:f>PIVOT_TABLES!$I$3</c:f>
              <c:strCache>
                <c:ptCount val="1"/>
                <c:pt idx="0">
                  <c:v>Total Hours Priced Less Than -$26/MWh</c:v>
                </c:pt>
              </c:strCache>
            </c:strRef>
          </c:tx>
          <c:cat>
            <c:multiLvlStrRef>
              <c:f>PIVOT_TABLES!$F$4:$F$21</c:f>
              <c:multiLvlStrCache>
                <c:ptCount val="12"/>
                <c:lvl>
                  <c:pt idx="0">
                    <c:v>Jan</c:v>
                  </c:pt>
                  <c:pt idx="1">
                    <c:v>Feb</c:v>
                  </c:pt>
                  <c:pt idx="2">
                    <c:v>Mar</c:v>
                  </c:pt>
                  <c:pt idx="3">
                    <c:v>Jan</c:v>
                  </c:pt>
                  <c:pt idx="4">
                    <c:v>Feb</c:v>
                  </c:pt>
                  <c:pt idx="5">
                    <c:v>Mar</c:v>
                  </c:pt>
                  <c:pt idx="6">
                    <c:v>Jan</c:v>
                  </c:pt>
                  <c:pt idx="7">
                    <c:v>Feb</c:v>
                  </c:pt>
                  <c:pt idx="8">
                    <c:v>Mar</c:v>
                  </c:pt>
                  <c:pt idx="9">
                    <c:v>Jan</c:v>
                  </c:pt>
                  <c:pt idx="10">
                    <c:v>Feb</c:v>
                  </c:pt>
                  <c:pt idx="11">
                    <c:v>Mar</c:v>
                  </c:pt>
                </c:lvl>
                <c:lvl>
                  <c:pt idx="0">
                    <c:v>2022</c:v>
                  </c:pt>
                  <c:pt idx="3">
                    <c:v>2023</c:v>
                  </c:pt>
                  <c:pt idx="6">
                    <c:v>2024</c:v>
                  </c:pt>
                  <c:pt idx="9">
                    <c:v>2025</c:v>
                  </c:pt>
                </c:lvl>
                <c:lvl>
                  <c:pt idx="0">
                    <c:v>Qtr1</c:v>
                  </c:pt>
                </c:lvl>
              </c:multiLvlStrCache>
            </c:multiLvlStrRef>
          </c:cat>
          <c:val>
            <c:numRef>
              <c:f>PIVOT_TABLES!$I$4:$I$21</c:f>
              <c:numCache>
                <c:formatCode>#,##0;\-#,##0</c:formatCode>
                <c:ptCount val="12"/>
                <c:pt idx="0">
                  <c:v>0</c:v>
                </c:pt>
                <c:pt idx="1">
                  <c:v>0</c:v>
                </c:pt>
                <c:pt idx="2">
                  <c:v>0</c:v>
                </c:pt>
                <c:pt idx="3">
                  <c:v>0</c:v>
                </c:pt>
                <c:pt idx="4">
                  <c:v>0</c:v>
                </c:pt>
                <c:pt idx="5">
                  <c:v>0</c:v>
                </c:pt>
                <c:pt idx="6">
                  <c:v>0</c:v>
                </c:pt>
                <c:pt idx="7">
                  <c:v>0</c:v>
                </c:pt>
                <c:pt idx="8">
                  <c:v>1</c:v>
                </c:pt>
                <c:pt idx="9">
                  <c:v>0</c:v>
                </c:pt>
                <c:pt idx="10">
                  <c:v>0</c:v>
                </c:pt>
                <c:pt idx="11">
                  <c:v>22</c:v>
                </c:pt>
              </c:numCache>
            </c:numRef>
          </c:val>
          <c:smooth val="0"/>
          <c:extLst>
            <c:ext xmlns:c16="http://schemas.microsoft.com/office/drawing/2014/chart" uri="{C3380CC4-5D6E-409C-BE32-E72D297353CC}">
              <c16:uniqueId val="{00000002-99DB-4461-9122-4833679517F2}"/>
            </c:ext>
          </c:extLst>
        </c:ser>
        <c:dLbls>
          <c:showLegendKey val="0"/>
          <c:showVal val="0"/>
          <c:showCatName val="0"/>
          <c:showSerName val="0"/>
          <c:showPercent val="0"/>
          <c:showBubbleSize val="0"/>
        </c:dLbls>
        <c:marker val="1"/>
        <c:smooth val="0"/>
        <c:axId val="695588863"/>
        <c:axId val="695585023"/>
      </c:lineChart>
      <c:catAx>
        <c:axId val="813642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651087"/>
        <c:crosses val="autoZero"/>
        <c:auto val="1"/>
        <c:lblAlgn val="ctr"/>
        <c:lblOffset val="100"/>
        <c:noMultiLvlLbl val="0"/>
      </c:catAx>
      <c:valAx>
        <c:axId val="813651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b="1"/>
                </a:pPr>
                <a:r>
                  <a:rPr lang="en-US" b="1"/>
                  <a:t>MWh</a:t>
                </a:r>
              </a:p>
            </c:rich>
          </c:tx>
          <c:overlay val="0"/>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13642927"/>
        <c:crosses val="autoZero"/>
        <c:crossBetween val="between"/>
      </c:valAx>
      <c:valAx>
        <c:axId val="695585023"/>
        <c:scaling>
          <c:orientation val="minMax"/>
        </c:scaling>
        <c:delete val="0"/>
        <c:axPos val="r"/>
        <c:title>
          <c:tx>
            <c:rich>
              <a:bodyPr/>
              <a:lstStyle/>
              <a:p>
                <a:pPr>
                  <a:defRPr b="1"/>
                </a:pPr>
                <a:r>
                  <a:rPr lang="en-US" b="1"/>
                  <a:t>Hours</a:t>
                </a:r>
              </a:p>
            </c:rich>
          </c:tx>
          <c:overlay val="0"/>
        </c:title>
        <c:numFmt formatCode="#,##0;\-#,##0" sourceLinked="1"/>
        <c:majorTickMark val="out"/>
        <c:minorTickMark val="none"/>
        <c:tickLblPos val="nextTo"/>
        <c:txPr>
          <a:bodyPr/>
          <a:lstStyle/>
          <a:p>
            <a:pPr>
              <a:defRPr sz="900" b="1"/>
            </a:pPr>
            <a:endParaRPr lang="en-US"/>
          </a:p>
        </c:txPr>
        <c:crossAx val="695588863"/>
        <c:crosses val="max"/>
        <c:crossBetween val="between"/>
      </c:valAx>
      <c:catAx>
        <c:axId val="695588863"/>
        <c:scaling>
          <c:orientation val="minMax"/>
        </c:scaling>
        <c:delete val="1"/>
        <c:axPos val="b"/>
        <c:numFmt formatCode="General" sourceLinked="1"/>
        <c:majorTickMark val="out"/>
        <c:minorTickMark val="none"/>
        <c:tickLblPos val="nextTo"/>
        <c:crossAx val="695585023"/>
        <c:crosses val="autoZero"/>
        <c:auto val="1"/>
        <c:lblAlgn val="ctr"/>
        <c:lblOffset val="100"/>
        <c:noMultiLvlLbl val="0"/>
      </c:catAx>
    </c:plotArea>
    <c:legend>
      <c:legendPos val="r"/>
      <c:layout>
        <c:manualLayout>
          <c:xMode val="edge"/>
          <c:yMode val="edge"/>
          <c:x val="0.79886314905885902"/>
          <c:y val="0.24096583420634651"/>
          <c:w val="0.20113681291568658"/>
          <c:h val="0.54372562656797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Data.xlsx]PIVOT_TABLES!PivotTable11</c:name>
    <c:fmtId val="-1"/>
  </c:pivotSource>
  <c:chart>
    <c:title>
      <c:tx>
        <c:rich>
          <a:bodyPr rot="0" spcFirstLastPara="1" vertOverflow="ellipsis" vert="horz" wrap="square" anchor="ctr" anchorCtr="1"/>
          <a:lstStyle/>
          <a:p>
            <a:pPr>
              <a:defRPr sz="1400" b="0" i="0" u="none" strike="noStrike" kern="1200" spc="0" baseline="0">
                <a:ln>
                  <a:solidFill>
                    <a:schemeClr val="accent1"/>
                  </a:solidFill>
                </a:ln>
                <a:solidFill>
                  <a:schemeClr val="tx1">
                    <a:lumMod val="65000"/>
                    <a:lumOff val="35000"/>
                  </a:schemeClr>
                </a:solidFill>
                <a:latin typeface="+mn-lt"/>
                <a:ea typeface="+mn-ea"/>
                <a:cs typeface="+mn-cs"/>
              </a:defRPr>
            </a:pPr>
            <a:r>
              <a:rPr lang="en-US"/>
              <a:t>Generation Subjected to Negative Energy Pricing </a:t>
            </a:r>
          </a:p>
          <a:p>
            <a:pPr>
              <a:defRPr/>
            </a:pPr>
            <a:r>
              <a:rPr lang="en-US"/>
              <a:t>in Q2 2022 - 2024</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accent1"/>
                </a:solidFill>
              </a:ln>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799683693384481"/>
          <c:y val="0.19542792975620316"/>
          <c:w val="0.56023722996163938"/>
          <c:h val="0.53954000595286411"/>
        </c:manualLayout>
      </c:layout>
      <c:barChart>
        <c:barDir val="col"/>
        <c:grouping val="clustered"/>
        <c:varyColors val="0"/>
        <c:ser>
          <c:idx val="0"/>
          <c:order val="0"/>
          <c:tx>
            <c:strRef>
              <c:f>PIVOT_TABLES!$L$3</c:f>
              <c:strCache>
                <c:ptCount val="1"/>
                <c:pt idx="0">
                  <c:v>Generation Subjected to Negative Pricing</c:v>
                </c:pt>
              </c:strCache>
            </c:strRef>
          </c:tx>
          <c:spPr>
            <a:solidFill>
              <a:schemeClr val="accent1"/>
            </a:solidFill>
            <a:ln>
              <a:noFill/>
            </a:ln>
            <a:effectLst/>
          </c:spPr>
          <c:invertIfNegative val="0"/>
          <c:cat>
            <c:multiLvlStrRef>
              <c:f>PIVOT_TABLES!$K$4:$K$17</c:f>
              <c:multiLvlStrCache>
                <c:ptCount val="9"/>
                <c:lvl>
                  <c:pt idx="0">
                    <c:v>Apr</c:v>
                  </c:pt>
                  <c:pt idx="1">
                    <c:v>May</c:v>
                  </c:pt>
                  <c:pt idx="2">
                    <c:v>Jun</c:v>
                  </c:pt>
                  <c:pt idx="3">
                    <c:v>Apr</c:v>
                  </c:pt>
                  <c:pt idx="4">
                    <c:v>May</c:v>
                  </c:pt>
                  <c:pt idx="5">
                    <c:v>Jun</c:v>
                  </c:pt>
                  <c:pt idx="6">
                    <c:v>Apr</c:v>
                  </c:pt>
                  <c:pt idx="7">
                    <c:v>May</c:v>
                  </c:pt>
                  <c:pt idx="8">
                    <c:v>Jun</c:v>
                  </c:pt>
                </c:lvl>
                <c:lvl>
                  <c:pt idx="0">
                    <c:v>2022</c:v>
                  </c:pt>
                  <c:pt idx="3">
                    <c:v>2023</c:v>
                  </c:pt>
                  <c:pt idx="6">
                    <c:v>2024</c:v>
                  </c:pt>
                </c:lvl>
                <c:lvl>
                  <c:pt idx="0">
                    <c:v>Qtr2</c:v>
                  </c:pt>
                </c:lvl>
              </c:multiLvlStrCache>
            </c:multiLvlStrRef>
          </c:cat>
          <c:val>
            <c:numRef>
              <c:f>PIVOT_TABLES!$L$4:$L$17</c:f>
              <c:numCache>
                <c:formatCode>#,##0</c:formatCode>
                <c:ptCount val="9"/>
                <c:pt idx="0">
                  <c:v>17704.224405381949</c:v>
                </c:pt>
                <c:pt idx="1">
                  <c:v>286550.05164496519</c:v>
                </c:pt>
                <c:pt idx="2">
                  <c:v>181550.48853515627</c:v>
                </c:pt>
                <c:pt idx="3">
                  <c:v>497991.82156466995</c:v>
                </c:pt>
                <c:pt idx="4">
                  <c:v>2292703.9737174483</c:v>
                </c:pt>
                <c:pt idx="5">
                  <c:v>614399.149811198</c:v>
                </c:pt>
                <c:pt idx="6">
                  <c:v>3859771.1489035822</c:v>
                </c:pt>
                <c:pt idx="7">
                  <c:v>4097966.2708858266</c:v>
                </c:pt>
                <c:pt idx="8">
                  <c:v>1388861.660005019</c:v>
                </c:pt>
              </c:numCache>
            </c:numRef>
          </c:val>
          <c:extLst>
            <c:ext xmlns:c16="http://schemas.microsoft.com/office/drawing/2014/chart" uri="{C3380CC4-5D6E-409C-BE32-E72D297353CC}">
              <c16:uniqueId val="{00000000-FB3B-40FE-ADBC-AEF7BC73507C}"/>
            </c:ext>
          </c:extLst>
        </c:ser>
        <c:dLbls>
          <c:showLegendKey val="0"/>
          <c:showVal val="0"/>
          <c:showCatName val="0"/>
          <c:showSerName val="0"/>
          <c:showPercent val="0"/>
          <c:showBubbleSize val="0"/>
        </c:dLbls>
        <c:gapWidth val="219"/>
        <c:overlap val="-27"/>
        <c:axId val="2132196768"/>
        <c:axId val="2132195808"/>
      </c:barChart>
      <c:lineChart>
        <c:grouping val="standard"/>
        <c:varyColors val="0"/>
        <c:ser>
          <c:idx val="1"/>
          <c:order val="1"/>
          <c:tx>
            <c:strRef>
              <c:f>PIVOT_TABLES!$M$3</c:f>
              <c:strCache>
                <c:ptCount val="1"/>
                <c:pt idx="0">
                  <c:v>Total Hours Priced $0 to -$26/MWh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PIVOT_TABLES!$K$4:$K$17</c:f>
              <c:multiLvlStrCache>
                <c:ptCount val="9"/>
                <c:lvl>
                  <c:pt idx="0">
                    <c:v>Apr</c:v>
                  </c:pt>
                  <c:pt idx="1">
                    <c:v>May</c:v>
                  </c:pt>
                  <c:pt idx="2">
                    <c:v>Jun</c:v>
                  </c:pt>
                  <c:pt idx="3">
                    <c:v>Apr</c:v>
                  </c:pt>
                  <c:pt idx="4">
                    <c:v>May</c:v>
                  </c:pt>
                  <c:pt idx="5">
                    <c:v>Jun</c:v>
                  </c:pt>
                  <c:pt idx="6">
                    <c:v>Apr</c:v>
                  </c:pt>
                  <c:pt idx="7">
                    <c:v>May</c:v>
                  </c:pt>
                  <c:pt idx="8">
                    <c:v>Jun</c:v>
                  </c:pt>
                </c:lvl>
                <c:lvl>
                  <c:pt idx="0">
                    <c:v>2022</c:v>
                  </c:pt>
                  <c:pt idx="3">
                    <c:v>2023</c:v>
                  </c:pt>
                  <c:pt idx="6">
                    <c:v>2024</c:v>
                  </c:pt>
                </c:lvl>
                <c:lvl>
                  <c:pt idx="0">
                    <c:v>Qtr2</c:v>
                  </c:pt>
                </c:lvl>
              </c:multiLvlStrCache>
            </c:multiLvlStrRef>
          </c:cat>
          <c:val>
            <c:numRef>
              <c:f>PIVOT_TABLES!$M$4:$M$17</c:f>
              <c:numCache>
                <c:formatCode>#,##0;\-#,##0</c:formatCode>
                <c:ptCount val="9"/>
                <c:pt idx="0">
                  <c:v>1</c:v>
                </c:pt>
                <c:pt idx="1">
                  <c:v>15</c:v>
                </c:pt>
                <c:pt idx="2">
                  <c:v>9</c:v>
                </c:pt>
                <c:pt idx="3">
                  <c:v>29</c:v>
                </c:pt>
                <c:pt idx="4">
                  <c:v>113</c:v>
                </c:pt>
                <c:pt idx="5">
                  <c:v>29</c:v>
                </c:pt>
                <c:pt idx="6">
                  <c:v>159</c:v>
                </c:pt>
                <c:pt idx="7">
                  <c:v>160</c:v>
                </c:pt>
                <c:pt idx="8">
                  <c:v>61</c:v>
                </c:pt>
              </c:numCache>
            </c:numRef>
          </c:val>
          <c:smooth val="0"/>
          <c:extLst>
            <c:ext xmlns:c16="http://schemas.microsoft.com/office/drawing/2014/chart" uri="{C3380CC4-5D6E-409C-BE32-E72D297353CC}">
              <c16:uniqueId val="{00000001-FB3B-40FE-ADBC-AEF7BC73507C}"/>
            </c:ext>
          </c:extLst>
        </c:ser>
        <c:ser>
          <c:idx val="2"/>
          <c:order val="2"/>
          <c:tx>
            <c:strRef>
              <c:f>PIVOT_TABLES!$N$3</c:f>
              <c:strCache>
                <c:ptCount val="1"/>
                <c:pt idx="0">
                  <c:v>Total Hours Priced &lt; -$26/MWh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PIVOT_TABLES!$K$4:$K$17</c:f>
              <c:multiLvlStrCache>
                <c:ptCount val="9"/>
                <c:lvl>
                  <c:pt idx="0">
                    <c:v>Apr</c:v>
                  </c:pt>
                  <c:pt idx="1">
                    <c:v>May</c:v>
                  </c:pt>
                  <c:pt idx="2">
                    <c:v>Jun</c:v>
                  </c:pt>
                  <c:pt idx="3">
                    <c:v>Apr</c:v>
                  </c:pt>
                  <c:pt idx="4">
                    <c:v>May</c:v>
                  </c:pt>
                  <c:pt idx="5">
                    <c:v>Jun</c:v>
                  </c:pt>
                  <c:pt idx="6">
                    <c:v>Apr</c:v>
                  </c:pt>
                  <c:pt idx="7">
                    <c:v>May</c:v>
                  </c:pt>
                  <c:pt idx="8">
                    <c:v>Jun</c:v>
                  </c:pt>
                </c:lvl>
                <c:lvl>
                  <c:pt idx="0">
                    <c:v>2022</c:v>
                  </c:pt>
                  <c:pt idx="3">
                    <c:v>2023</c:v>
                  </c:pt>
                  <c:pt idx="6">
                    <c:v>2024</c:v>
                  </c:pt>
                </c:lvl>
                <c:lvl>
                  <c:pt idx="0">
                    <c:v>Qtr2</c:v>
                  </c:pt>
                </c:lvl>
              </c:multiLvlStrCache>
            </c:multiLvlStrRef>
          </c:cat>
          <c:val>
            <c:numRef>
              <c:f>PIVOT_TABLES!$N$4:$N$17</c:f>
              <c:numCache>
                <c:formatCode>#,##0;\-#,##0</c:formatCode>
                <c:ptCount val="9"/>
                <c:pt idx="0">
                  <c:v>0</c:v>
                </c:pt>
                <c:pt idx="1">
                  <c:v>0</c:v>
                </c:pt>
                <c:pt idx="2">
                  <c:v>0</c:v>
                </c:pt>
                <c:pt idx="3">
                  <c:v>0</c:v>
                </c:pt>
                <c:pt idx="4">
                  <c:v>0</c:v>
                </c:pt>
                <c:pt idx="5">
                  <c:v>0</c:v>
                </c:pt>
                <c:pt idx="6">
                  <c:v>31</c:v>
                </c:pt>
                <c:pt idx="7">
                  <c:v>30</c:v>
                </c:pt>
                <c:pt idx="8">
                  <c:v>0</c:v>
                </c:pt>
              </c:numCache>
            </c:numRef>
          </c:val>
          <c:smooth val="0"/>
          <c:extLst>
            <c:ext xmlns:c16="http://schemas.microsoft.com/office/drawing/2014/chart" uri="{C3380CC4-5D6E-409C-BE32-E72D297353CC}">
              <c16:uniqueId val="{00000002-FB3B-40FE-ADBC-AEF7BC73507C}"/>
            </c:ext>
          </c:extLst>
        </c:ser>
        <c:dLbls>
          <c:showLegendKey val="0"/>
          <c:showVal val="0"/>
          <c:showCatName val="0"/>
          <c:showSerName val="0"/>
          <c:showPercent val="0"/>
          <c:showBubbleSize val="0"/>
        </c:dLbls>
        <c:marker val="1"/>
        <c:smooth val="0"/>
        <c:axId val="717779455"/>
        <c:axId val="717780895"/>
      </c:lineChart>
      <c:catAx>
        <c:axId val="213219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2132195808"/>
        <c:crosses val="autoZero"/>
        <c:auto val="1"/>
        <c:lblAlgn val="ctr"/>
        <c:lblOffset val="100"/>
        <c:noMultiLvlLbl val="0"/>
      </c:catAx>
      <c:valAx>
        <c:axId val="213219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accent1"/>
                      </a:solidFill>
                    </a:ln>
                    <a:solidFill>
                      <a:schemeClr val="tx1">
                        <a:lumMod val="65000"/>
                        <a:lumOff val="35000"/>
                      </a:schemeClr>
                    </a:solidFill>
                    <a:latin typeface="+mn-lt"/>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2132196768"/>
        <c:crosses val="autoZero"/>
        <c:crossBetween val="between"/>
      </c:valAx>
      <c:valAx>
        <c:axId val="717780895"/>
        <c:scaling>
          <c:orientation val="minMax"/>
        </c:scaling>
        <c:delete val="0"/>
        <c:axPos val="r"/>
        <c:title>
          <c:tx>
            <c:rich>
              <a:bodyPr rot="-5400000" spcFirstLastPara="1" vertOverflow="ellipsis" vert="horz" wrap="square" anchor="ctr" anchorCtr="1"/>
              <a:lstStyle/>
              <a:p>
                <a:pPr>
                  <a:defRPr sz="1000" b="0" i="0" u="none" strike="noStrike" kern="1200" baseline="0">
                    <a:ln>
                      <a:solidFill>
                        <a:schemeClr val="accent1"/>
                      </a:solidFill>
                    </a:ln>
                    <a:solidFill>
                      <a:schemeClr val="tx1">
                        <a:lumMod val="65000"/>
                        <a:lumOff val="35000"/>
                      </a:schemeClr>
                    </a:solidFill>
                    <a:latin typeface="+mn-lt"/>
                    <a:ea typeface="+mn-ea"/>
                    <a:cs typeface="+mn-cs"/>
                  </a:defRPr>
                </a:pPr>
                <a:r>
                  <a:rPr lang="en-US"/>
                  <a:t>Hours</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717779455"/>
        <c:crosses val="max"/>
        <c:crossBetween val="between"/>
      </c:valAx>
      <c:catAx>
        <c:axId val="717779455"/>
        <c:scaling>
          <c:orientation val="minMax"/>
        </c:scaling>
        <c:delete val="1"/>
        <c:axPos val="b"/>
        <c:numFmt formatCode="General" sourceLinked="1"/>
        <c:majorTickMark val="none"/>
        <c:minorTickMark val="none"/>
        <c:tickLblPos val="nextTo"/>
        <c:crossAx val="717780895"/>
        <c:crosses val="autoZero"/>
        <c:auto val="1"/>
        <c:lblAlgn val="ctr"/>
        <c:lblOffset val="100"/>
        <c:noMultiLvlLbl val="0"/>
      </c:catAx>
      <c:spPr>
        <a:noFill/>
        <a:ln>
          <a:noFill/>
        </a:ln>
        <a:effectLst/>
      </c:spPr>
    </c:plotArea>
    <c:legend>
      <c:legendPos val="r"/>
      <c:layout>
        <c:manualLayout>
          <c:xMode val="edge"/>
          <c:yMode val="edge"/>
          <c:x val="0.82754879197792586"/>
          <c:y val="0.21294693833373921"/>
          <c:w val="0.16273066828184937"/>
          <c:h val="0.66137021791378725"/>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solidFill>
              <a:schemeClr val="accent1"/>
            </a:solidFill>
          </a:ln>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Data.xlsx]PIVOT_TABLES!PivotTable1</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rPr>
              <a:t>Generation Subjected to Negative Energy Pricing </a:t>
            </a:r>
          </a:p>
          <a:p>
            <a:pPr>
              <a:defRPr b="1"/>
            </a:pPr>
            <a:r>
              <a:rPr lang="en-US" sz="1400" b="1" i="0" u="none" strike="noStrike" kern="1200" spc="0" baseline="0">
                <a:solidFill>
                  <a:sysClr val="windowText" lastClr="000000">
                    <a:lumMod val="65000"/>
                    <a:lumOff val="35000"/>
                  </a:sysClr>
                </a:solidFill>
              </a:rPr>
              <a:t>in Q3 2022 - 2024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02671781411939"/>
          <c:y val="0.18862198195374832"/>
          <c:w val="0.61609344505013808"/>
          <c:h val="0.55557592614356044"/>
        </c:manualLayout>
      </c:layout>
      <c:barChart>
        <c:barDir val="col"/>
        <c:grouping val="clustered"/>
        <c:varyColors val="0"/>
        <c:ser>
          <c:idx val="0"/>
          <c:order val="0"/>
          <c:tx>
            <c:strRef>
              <c:f>PIVOT_TABLES!$B$24</c:f>
              <c:strCache>
                <c:ptCount val="1"/>
                <c:pt idx="0">
                  <c:v>Generation Subjected to Negative Pricing</c:v>
                </c:pt>
              </c:strCache>
            </c:strRef>
          </c:tx>
          <c:spPr>
            <a:solidFill>
              <a:schemeClr val="accent1"/>
            </a:solidFill>
            <a:ln>
              <a:noFill/>
            </a:ln>
            <a:effectLst/>
          </c:spPr>
          <c:invertIfNegative val="0"/>
          <c:cat>
            <c:multiLvlStrRef>
              <c:f>PIVOT_TABLES!$A$25:$A$32</c:f>
              <c:multiLvlStrCache>
                <c:ptCount val="5"/>
                <c:lvl>
                  <c:pt idx="2">
                    <c:v>Jul</c:v>
                  </c:pt>
                  <c:pt idx="3">
                    <c:v>Aug</c:v>
                  </c:pt>
                  <c:pt idx="4">
                    <c:v>Sep</c:v>
                  </c:pt>
                </c:lvl>
                <c:lvl>
                  <c:pt idx="0">
                    <c:v>2022</c:v>
                  </c:pt>
                  <c:pt idx="1">
                    <c:v>2023</c:v>
                  </c:pt>
                  <c:pt idx="2">
                    <c:v>2024</c:v>
                  </c:pt>
                </c:lvl>
                <c:lvl>
                  <c:pt idx="0">
                    <c:v>Qtr3</c:v>
                  </c:pt>
                </c:lvl>
              </c:multiLvlStrCache>
            </c:multiLvlStrRef>
          </c:cat>
          <c:val>
            <c:numRef>
              <c:f>PIVOT_TABLES!$B$25:$B$32</c:f>
              <c:numCache>
                <c:formatCode>#,##0</c:formatCode>
                <c:ptCount val="5"/>
                <c:pt idx="0">
                  <c:v>0</c:v>
                </c:pt>
                <c:pt idx="1">
                  <c:v>0</c:v>
                </c:pt>
                <c:pt idx="2">
                  <c:v>0</c:v>
                </c:pt>
                <c:pt idx="3">
                  <c:v>331348.67976734065</c:v>
                </c:pt>
                <c:pt idx="4">
                  <c:v>0</c:v>
                </c:pt>
              </c:numCache>
            </c:numRef>
          </c:val>
          <c:extLst>
            <c:ext xmlns:c16="http://schemas.microsoft.com/office/drawing/2014/chart" uri="{C3380CC4-5D6E-409C-BE32-E72D297353CC}">
              <c16:uniqueId val="{00000000-EF16-4DE1-ADE1-DC3E8B588A3C}"/>
            </c:ext>
          </c:extLst>
        </c:ser>
        <c:dLbls>
          <c:showLegendKey val="0"/>
          <c:showVal val="0"/>
          <c:showCatName val="0"/>
          <c:showSerName val="0"/>
          <c:showPercent val="0"/>
          <c:showBubbleSize val="0"/>
        </c:dLbls>
        <c:gapWidth val="219"/>
        <c:overlap val="-27"/>
        <c:axId val="1031116288"/>
        <c:axId val="1031111968"/>
      </c:barChart>
      <c:lineChart>
        <c:grouping val="standard"/>
        <c:varyColors val="0"/>
        <c:ser>
          <c:idx val="1"/>
          <c:order val="1"/>
          <c:tx>
            <c:strRef>
              <c:f>PIVOT_TABLES!$C$24</c:f>
              <c:strCache>
                <c:ptCount val="1"/>
                <c:pt idx="0">
                  <c:v>Total Hours Priced $0 to -$26/MWh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PIVOT_TABLES!$A$25:$A$32</c:f>
              <c:multiLvlStrCache>
                <c:ptCount val="5"/>
                <c:lvl>
                  <c:pt idx="2">
                    <c:v>Jul</c:v>
                  </c:pt>
                  <c:pt idx="3">
                    <c:v>Aug</c:v>
                  </c:pt>
                  <c:pt idx="4">
                    <c:v>Sep</c:v>
                  </c:pt>
                </c:lvl>
                <c:lvl>
                  <c:pt idx="0">
                    <c:v>2022</c:v>
                  </c:pt>
                  <c:pt idx="1">
                    <c:v>2023</c:v>
                  </c:pt>
                  <c:pt idx="2">
                    <c:v>2024</c:v>
                  </c:pt>
                </c:lvl>
                <c:lvl>
                  <c:pt idx="0">
                    <c:v>Qtr3</c:v>
                  </c:pt>
                </c:lvl>
              </c:multiLvlStrCache>
            </c:multiLvlStrRef>
          </c:cat>
          <c:val>
            <c:numRef>
              <c:f>PIVOT_TABLES!$C$25:$C$32</c:f>
              <c:numCache>
                <c:formatCode>#,##0;\-#,##0</c:formatCode>
                <c:ptCount val="5"/>
                <c:pt idx="0">
                  <c:v>0</c:v>
                </c:pt>
                <c:pt idx="1">
                  <c:v>0</c:v>
                </c:pt>
                <c:pt idx="2">
                  <c:v>0</c:v>
                </c:pt>
                <c:pt idx="3">
                  <c:v>13</c:v>
                </c:pt>
                <c:pt idx="4">
                  <c:v>0</c:v>
                </c:pt>
              </c:numCache>
            </c:numRef>
          </c:val>
          <c:smooth val="0"/>
          <c:extLst>
            <c:ext xmlns:c16="http://schemas.microsoft.com/office/drawing/2014/chart" uri="{C3380CC4-5D6E-409C-BE32-E72D297353CC}">
              <c16:uniqueId val="{00000001-EF16-4DE1-ADE1-DC3E8B588A3C}"/>
            </c:ext>
          </c:extLst>
        </c:ser>
        <c:ser>
          <c:idx val="2"/>
          <c:order val="2"/>
          <c:tx>
            <c:strRef>
              <c:f>PIVOT_TABLES!$D$24</c:f>
              <c:strCache>
                <c:ptCount val="1"/>
                <c:pt idx="0">
                  <c:v>Total Hours Priced &lt; -$26/MWh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PIVOT_TABLES!$A$25:$A$32</c:f>
              <c:multiLvlStrCache>
                <c:ptCount val="5"/>
                <c:lvl>
                  <c:pt idx="2">
                    <c:v>Jul</c:v>
                  </c:pt>
                  <c:pt idx="3">
                    <c:v>Aug</c:v>
                  </c:pt>
                  <c:pt idx="4">
                    <c:v>Sep</c:v>
                  </c:pt>
                </c:lvl>
                <c:lvl>
                  <c:pt idx="0">
                    <c:v>2022</c:v>
                  </c:pt>
                  <c:pt idx="1">
                    <c:v>2023</c:v>
                  </c:pt>
                  <c:pt idx="2">
                    <c:v>2024</c:v>
                  </c:pt>
                </c:lvl>
                <c:lvl>
                  <c:pt idx="0">
                    <c:v>Qtr3</c:v>
                  </c:pt>
                </c:lvl>
              </c:multiLvlStrCache>
            </c:multiLvlStrRef>
          </c:cat>
          <c:val>
            <c:numRef>
              <c:f>PIVOT_TABLES!$D$25:$D$32</c:f>
              <c:numCache>
                <c:formatCode>#,##0;\-#,##0</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2-EF16-4DE1-ADE1-DC3E8B588A3C}"/>
            </c:ext>
          </c:extLst>
        </c:ser>
        <c:dLbls>
          <c:showLegendKey val="0"/>
          <c:showVal val="0"/>
          <c:showCatName val="0"/>
          <c:showSerName val="0"/>
          <c:showPercent val="0"/>
          <c:showBubbleSize val="0"/>
        </c:dLbls>
        <c:marker val="1"/>
        <c:smooth val="0"/>
        <c:axId val="1031113408"/>
        <c:axId val="1031123008"/>
      </c:lineChart>
      <c:catAx>
        <c:axId val="10311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11968"/>
        <c:crosses val="autoZero"/>
        <c:auto val="1"/>
        <c:lblAlgn val="ctr"/>
        <c:lblOffset val="100"/>
        <c:noMultiLvlLbl val="0"/>
      </c:catAx>
      <c:valAx>
        <c:axId val="103111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MWh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16288"/>
        <c:crosses val="autoZero"/>
        <c:crossBetween val="between"/>
      </c:valAx>
      <c:valAx>
        <c:axId val="1031123008"/>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Hours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13408"/>
        <c:crosses val="max"/>
        <c:crossBetween val="between"/>
      </c:valAx>
      <c:catAx>
        <c:axId val="1031113408"/>
        <c:scaling>
          <c:orientation val="minMax"/>
        </c:scaling>
        <c:delete val="1"/>
        <c:axPos val="b"/>
        <c:numFmt formatCode="General" sourceLinked="1"/>
        <c:majorTickMark val="out"/>
        <c:minorTickMark val="none"/>
        <c:tickLblPos val="nextTo"/>
        <c:crossAx val="1031123008"/>
        <c:crosses val="autoZero"/>
        <c:auto val="1"/>
        <c:lblAlgn val="ctr"/>
        <c:lblOffset val="100"/>
        <c:noMultiLvlLbl val="0"/>
      </c:catAx>
      <c:spPr>
        <a:noFill/>
        <a:ln>
          <a:noFill/>
        </a:ln>
        <a:effectLst/>
      </c:spPr>
    </c:plotArea>
    <c:legend>
      <c:legendPos val="r"/>
      <c:layout>
        <c:manualLayout>
          <c:xMode val="edge"/>
          <c:yMode val="edge"/>
          <c:x val="0.81270597272901868"/>
          <c:y val="0.25279455739674328"/>
          <c:w val="0.17753792971000576"/>
          <c:h val="0.62422293639531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Data.xlsx]PIVOT_TABLES!PivotTable2</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rPr>
              <a:t>Generation Subjected to Negative Energy Pricing </a:t>
            </a:r>
          </a:p>
          <a:p>
            <a:pPr>
              <a:defRPr b="1"/>
            </a:pPr>
            <a:r>
              <a:rPr lang="en-US" sz="1400" b="1" i="0" u="none" strike="noStrike" kern="1200" spc="0" baseline="0">
                <a:solidFill>
                  <a:sysClr val="windowText" lastClr="000000">
                    <a:lumMod val="65000"/>
                    <a:lumOff val="35000"/>
                  </a:sysClr>
                </a:solidFill>
              </a:rPr>
              <a:t>in Q4 2022 - 2024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282791574130158"/>
          <c:y val="0.22042452542269425"/>
          <c:w val="0.58885826771653549"/>
          <c:h val="0.4806439602026491"/>
        </c:manualLayout>
      </c:layout>
      <c:barChart>
        <c:barDir val="col"/>
        <c:grouping val="clustered"/>
        <c:varyColors val="0"/>
        <c:ser>
          <c:idx val="0"/>
          <c:order val="0"/>
          <c:tx>
            <c:strRef>
              <c:f>PIVOT_TABLES!$G$24</c:f>
              <c:strCache>
                <c:ptCount val="1"/>
                <c:pt idx="0">
                  <c:v>Generation Subjected to Negative Pricing</c:v>
                </c:pt>
              </c:strCache>
            </c:strRef>
          </c:tx>
          <c:spPr>
            <a:solidFill>
              <a:schemeClr val="accent1"/>
            </a:solidFill>
            <a:ln>
              <a:noFill/>
            </a:ln>
            <a:effectLst/>
          </c:spPr>
          <c:invertIfNegative val="0"/>
          <c:cat>
            <c:multiLvlStrRef>
              <c:f>PIVOT_TABLES!$F$25:$F$35</c:f>
              <c:multiLvlStrCache>
                <c:ptCount val="7"/>
                <c:lvl>
                  <c:pt idx="1">
                    <c:v>Oct</c:v>
                  </c:pt>
                  <c:pt idx="2">
                    <c:v>Nov</c:v>
                  </c:pt>
                  <c:pt idx="3">
                    <c:v>Dec</c:v>
                  </c:pt>
                  <c:pt idx="4">
                    <c:v>Oct</c:v>
                  </c:pt>
                  <c:pt idx="5">
                    <c:v>Nov</c:v>
                  </c:pt>
                  <c:pt idx="6">
                    <c:v>Dec</c:v>
                  </c:pt>
                </c:lvl>
                <c:lvl>
                  <c:pt idx="0">
                    <c:v>2022</c:v>
                  </c:pt>
                  <c:pt idx="1">
                    <c:v>2023</c:v>
                  </c:pt>
                  <c:pt idx="4">
                    <c:v>2024</c:v>
                  </c:pt>
                </c:lvl>
                <c:lvl>
                  <c:pt idx="0">
                    <c:v>Qtr4</c:v>
                  </c:pt>
                </c:lvl>
              </c:multiLvlStrCache>
            </c:multiLvlStrRef>
          </c:cat>
          <c:val>
            <c:numRef>
              <c:f>PIVOT_TABLES!$G$25:$G$35</c:f>
              <c:numCache>
                <c:formatCode>#,##0</c:formatCode>
                <c:ptCount val="7"/>
                <c:pt idx="0">
                  <c:v>0</c:v>
                </c:pt>
                <c:pt idx="1">
                  <c:v>0</c:v>
                </c:pt>
                <c:pt idx="2">
                  <c:v>60719.978168402755</c:v>
                </c:pt>
                <c:pt idx="3">
                  <c:v>0</c:v>
                </c:pt>
                <c:pt idx="4">
                  <c:v>0</c:v>
                </c:pt>
                <c:pt idx="5">
                  <c:v>128115.83811860134</c:v>
                </c:pt>
                <c:pt idx="6">
                  <c:v>0</c:v>
                </c:pt>
              </c:numCache>
            </c:numRef>
          </c:val>
          <c:extLst>
            <c:ext xmlns:c16="http://schemas.microsoft.com/office/drawing/2014/chart" uri="{C3380CC4-5D6E-409C-BE32-E72D297353CC}">
              <c16:uniqueId val="{00000000-3D79-4032-8275-A4A0C0A8227C}"/>
            </c:ext>
          </c:extLst>
        </c:ser>
        <c:dLbls>
          <c:showLegendKey val="0"/>
          <c:showVal val="0"/>
          <c:showCatName val="0"/>
          <c:showSerName val="0"/>
          <c:showPercent val="0"/>
          <c:showBubbleSize val="0"/>
        </c:dLbls>
        <c:gapWidth val="219"/>
        <c:overlap val="-27"/>
        <c:axId val="1031112448"/>
        <c:axId val="1031134528"/>
      </c:barChart>
      <c:lineChart>
        <c:grouping val="standard"/>
        <c:varyColors val="0"/>
        <c:ser>
          <c:idx val="1"/>
          <c:order val="1"/>
          <c:tx>
            <c:strRef>
              <c:f>PIVOT_TABLES!$H$24</c:f>
              <c:strCache>
                <c:ptCount val="1"/>
                <c:pt idx="0">
                  <c:v>Total Hours Priced $0 to -$26/MWh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PIVOT_TABLES!$F$25:$F$35</c:f>
              <c:multiLvlStrCache>
                <c:ptCount val="7"/>
                <c:lvl>
                  <c:pt idx="1">
                    <c:v>Oct</c:v>
                  </c:pt>
                  <c:pt idx="2">
                    <c:v>Nov</c:v>
                  </c:pt>
                  <c:pt idx="3">
                    <c:v>Dec</c:v>
                  </c:pt>
                  <c:pt idx="4">
                    <c:v>Oct</c:v>
                  </c:pt>
                  <c:pt idx="5">
                    <c:v>Nov</c:v>
                  </c:pt>
                  <c:pt idx="6">
                    <c:v>Dec</c:v>
                  </c:pt>
                </c:lvl>
                <c:lvl>
                  <c:pt idx="0">
                    <c:v>2022</c:v>
                  </c:pt>
                  <c:pt idx="1">
                    <c:v>2023</c:v>
                  </c:pt>
                  <c:pt idx="4">
                    <c:v>2024</c:v>
                  </c:pt>
                </c:lvl>
                <c:lvl>
                  <c:pt idx="0">
                    <c:v>Qtr4</c:v>
                  </c:pt>
                </c:lvl>
              </c:multiLvlStrCache>
            </c:multiLvlStrRef>
          </c:cat>
          <c:val>
            <c:numRef>
              <c:f>PIVOT_TABLES!$H$25:$H$35</c:f>
              <c:numCache>
                <c:formatCode>#,##0;\-#,##0</c:formatCode>
                <c:ptCount val="7"/>
                <c:pt idx="0">
                  <c:v>0</c:v>
                </c:pt>
                <c:pt idx="1">
                  <c:v>0</c:v>
                </c:pt>
                <c:pt idx="2">
                  <c:v>3</c:v>
                </c:pt>
                <c:pt idx="3">
                  <c:v>0</c:v>
                </c:pt>
                <c:pt idx="4">
                  <c:v>0</c:v>
                </c:pt>
                <c:pt idx="5">
                  <c:v>6</c:v>
                </c:pt>
                <c:pt idx="6">
                  <c:v>0</c:v>
                </c:pt>
              </c:numCache>
            </c:numRef>
          </c:val>
          <c:smooth val="0"/>
          <c:extLst>
            <c:ext xmlns:c16="http://schemas.microsoft.com/office/drawing/2014/chart" uri="{C3380CC4-5D6E-409C-BE32-E72D297353CC}">
              <c16:uniqueId val="{00000001-3D79-4032-8275-A4A0C0A8227C}"/>
            </c:ext>
          </c:extLst>
        </c:ser>
        <c:ser>
          <c:idx val="2"/>
          <c:order val="2"/>
          <c:tx>
            <c:strRef>
              <c:f>PIVOT_TABLES!$I$24</c:f>
              <c:strCache>
                <c:ptCount val="1"/>
                <c:pt idx="0">
                  <c:v>Total Hours Priced &lt; -$26/MWh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PIVOT_TABLES!$F$25:$F$35</c:f>
              <c:multiLvlStrCache>
                <c:ptCount val="7"/>
                <c:lvl>
                  <c:pt idx="1">
                    <c:v>Oct</c:v>
                  </c:pt>
                  <c:pt idx="2">
                    <c:v>Nov</c:v>
                  </c:pt>
                  <c:pt idx="3">
                    <c:v>Dec</c:v>
                  </c:pt>
                  <c:pt idx="4">
                    <c:v>Oct</c:v>
                  </c:pt>
                  <c:pt idx="5">
                    <c:v>Nov</c:v>
                  </c:pt>
                  <c:pt idx="6">
                    <c:v>Dec</c:v>
                  </c:pt>
                </c:lvl>
                <c:lvl>
                  <c:pt idx="0">
                    <c:v>2022</c:v>
                  </c:pt>
                  <c:pt idx="1">
                    <c:v>2023</c:v>
                  </c:pt>
                  <c:pt idx="4">
                    <c:v>2024</c:v>
                  </c:pt>
                </c:lvl>
                <c:lvl>
                  <c:pt idx="0">
                    <c:v>Qtr4</c:v>
                  </c:pt>
                </c:lvl>
              </c:multiLvlStrCache>
            </c:multiLvlStrRef>
          </c:cat>
          <c:val>
            <c:numRef>
              <c:f>PIVOT_TABLES!$I$25:$I$35</c:f>
              <c:numCache>
                <c:formatCode>#,##0;\-#,##0</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2-3D79-4032-8275-A4A0C0A8227C}"/>
            </c:ext>
          </c:extLst>
        </c:ser>
        <c:dLbls>
          <c:showLegendKey val="0"/>
          <c:showVal val="0"/>
          <c:showCatName val="0"/>
          <c:showSerName val="0"/>
          <c:showPercent val="0"/>
          <c:showBubbleSize val="0"/>
        </c:dLbls>
        <c:marker val="1"/>
        <c:smooth val="0"/>
        <c:axId val="1031109568"/>
        <c:axId val="1031114368"/>
      </c:lineChart>
      <c:catAx>
        <c:axId val="10311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34528"/>
        <c:crosses val="autoZero"/>
        <c:auto val="1"/>
        <c:lblAlgn val="ctr"/>
        <c:lblOffset val="100"/>
        <c:noMultiLvlLbl val="0"/>
      </c:catAx>
      <c:valAx>
        <c:axId val="1031134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MWh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12448"/>
        <c:crosses val="autoZero"/>
        <c:crossBetween val="between"/>
      </c:valAx>
      <c:valAx>
        <c:axId val="1031114368"/>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Hours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109568"/>
        <c:crosses val="max"/>
        <c:crossBetween val="between"/>
      </c:valAx>
      <c:catAx>
        <c:axId val="1031109568"/>
        <c:scaling>
          <c:orientation val="minMax"/>
        </c:scaling>
        <c:delete val="1"/>
        <c:axPos val="b"/>
        <c:numFmt formatCode="General" sourceLinked="1"/>
        <c:majorTickMark val="out"/>
        <c:minorTickMark val="none"/>
        <c:tickLblPos val="nextTo"/>
        <c:crossAx val="1031114368"/>
        <c:crosses val="autoZero"/>
        <c:auto val="1"/>
        <c:lblAlgn val="ctr"/>
        <c:lblOffset val="100"/>
        <c:noMultiLvlLbl val="0"/>
      </c:catAx>
      <c:spPr>
        <a:noFill/>
        <a:ln>
          <a:noFill/>
        </a:ln>
        <a:effectLst/>
      </c:spPr>
    </c:plotArea>
    <c:legend>
      <c:legendPos val="r"/>
      <c:layout>
        <c:manualLayout>
          <c:xMode val="edge"/>
          <c:yMode val="edge"/>
          <c:x val="0.81244430984588467"/>
          <c:y val="0.21111456998107797"/>
          <c:w val="0.17782337303990847"/>
          <c:h val="0.715908245704671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[CAISO Negative Pricing Data.xlsx]PIVOT_TABLES!PivotTable12</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Hourly Negative</a:t>
            </a:r>
            <a:r>
              <a:rPr lang="en-US" b="1" baseline="0"/>
              <a:t> Pricing</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770122484689415"/>
          <c:y val="0.18860920416984489"/>
          <c:w val="0.57335772932229623"/>
          <c:h val="0.57710909706080793"/>
        </c:manualLayout>
      </c:layout>
      <c:barChart>
        <c:barDir val="col"/>
        <c:grouping val="clustered"/>
        <c:varyColors val="0"/>
        <c:ser>
          <c:idx val="0"/>
          <c:order val="0"/>
          <c:tx>
            <c:strRef>
              <c:f>PIVOT_TABLES!$Q$3</c:f>
              <c:strCache>
                <c:ptCount val="1"/>
                <c:pt idx="0">
                  <c:v>Generation Subject to Negative Pricing</c:v>
                </c:pt>
              </c:strCache>
            </c:strRef>
          </c:tx>
          <c:spPr>
            <a:solidFill>
              <a:schemeClr val="accent1"/>
            </a:solidFill>
            <a:ln>
              <a:noFill/>
            </a:ln>
            <a:effectLst/>
          </c:spPr>
          <c:invertIfNegative val="0"/>
          <c:cat>
            <c:multiLvlStrRef>
              <c:f>PIVOT_TABLES!$P$4:$P$72</c:f>
              <c:multiLvlStrCache>
                <c:ptCount val="57"/>
                <c:lvl>
                  <c:pt idx="7">
                    <c:v>Qtr1</c:v>
                  </c:pt>
                  <c:pt idx="8">
                    <c:v>Qtr2</c:v>
                  </c:pt>
                  <c:pt idx="9">
                    <c:v>Qtr3</c:v>
                  </c:pt>
                  <c:pt idx="10">
                    <c:v>Qtr4</c:v>
                  </c:pt>
                  <c:pt idx="11">
                    <c:v>Qtr1</c:v>
                  </c:pt>
                  <c:pt idx="12">
                    <c:v>Qtr2</c:v>
                  </c:pt>
                  <c:pt idx="13">
                    <c:v>Qtr3</c:v>
                  </c:pt>
                  <c:pt idx="14">
                    <c:v>Qtr4</c:v>
                  </c:pt>
                  <c:pt idx="15">
                    <c:v>Qtr1</c:v>
                  </c:pt>
                  <c:pt idx="16">
                    <c:v>Qtr2</c:v>
                  </c:pt>
                  <c:pt idx="17">
                    <c:v>Qtr3</c:v>
                  </c:pt>
                  <c:pt idx="18">
                    <c:v>Qtr4</c:v>
                  </c:pt>
                  <c:pt idx="19">
                    <c:v>Qtr1</c:v>
                  </c:pt>
                  <c:pt idx="20">
                    <c:v>Qtr2</c:v>
                  </c:pt>
                  <c:pt idx="21">
                    <c:v>Qtr3</c:v>
                  </c:pt>
                  <c:pt idx="22">
                    <c:v>Qtr4</c:v>
                  </c:pt>
                  <c:pt idx="23">
                    <c:v>Qtr1</c:v>
                  </c:pt>
                  <c:pt idx="24">
                    <c:v>Qtr2</c:v>
                  </c:pt>
                  <c:pt idx="25">
                    <c:v>Qtr3</c:v>
                  </c:pt>
                  <c:pt idx="26">
                    <c:v>Qtr4</c:v>
                  </c:pt>
                  <c:pt idx="27">
                    <c:v>Qtr1</c:v>
                  </c:pt>
                  <c:pt idx="28">
                    <c:v>Qtr2</c:v>
                  </c:pt>
                  <c:pt idx="29">
                    <c:v>Qtr3</c:v>
                  </c:pt>
                  <c:pt idx="30">
                    <c:v>Qtr4</c:v>
                  </c:pt>
                  <c:pt idx="31">
                    <c:v>Qtr1</c:v>
                  </c:pt>
                  <c:pt idx="32">
                    <c:v>Qtr2</c:v>
                  </c:pt>
                  <c:pt idx="33">
                    <c:v>Qtr3</c:v>
                  </c:pt>
                  <c:pt idx="34">
                    <c:v>Qtr4</c:v>
                  </c:pt>
                  <c:pt idx="35">
                    <c:v>Qtr1</c:v>
                  </c:pt>
                  <c:pt idx="36">
                    <c:v>Qtr2</c:v>
                  </c:pt>
                  <c:pt idx="37">
                    <c:v>Qtr3</c:v>
                  </c:pt>
                  <c:pt idx="38">
                    <c:v>Qtr4</c:v>
                  </c:pt>
                  <c:pt idx="39">
                    <c:v>Qtr1</c:v>
                  </c:pt>
                  <c:pt idx="40">
                    <c:v>Qtr2</c:v>
                  </c:pt>
                  <c:pt idx="41">
                    <c:v>Qtr3</c:v>
                  </c:pt>
                  <c:pt idx="42">
                    <c:v>Qtr4</c:v>
                  </c:pt>
                  <c:pt idx="43">
                    <c:v>Qtr1</c:v>
                  </c:pt>
                  <c:pt idx="44">
                    <c:v>Qtr2</c:v>
                  </c:pt>
                  <c:pt idx="45">
                    <c:v>Qtr3</c:v>
                  </c:pt>
                  <c:pt idx="46">
                    <c:v>Qtr4</c:v>
                  </c:pt>
                  <c:pt idx="47">
                    <c:v>Qtr1</c:v>
                  </c:pt>
                  <c:pt idx="48">
                    <c:v>Qtr2</c:v>
                  </c:pt>
                  <c:pt idx="49">
                    <c:v>Qtr3</c:v>
                  </c:pt>
                  <c:pt idx="50">
                    <c:v>Qtr4</c:v>
                  </c:pt>
                </c:lvl>
                <c:lvl>
                  <c:pt idx="0">
                    <c:v>1</c:v>
                  </c:pt>
                  <c:pt idx="1">
                    <c:v>2</c:v>
                  </c:pt>
                  <c:pt idx="2">
                    <c:v>3</c:v>
                  </c:pt>
                  <c:pt idx="3">
                    <c:v>4</c:v>
                  </c:pt>
                  <c:pt idx="4">
                    <c:v>5</c:v>
                  </c:pt>
                  <c:pt idx="5">
                    <c:v>6</c:v>
                  </c:pt>
                  <c:pt idx="6">
                    <c:v>7</c:v>
                  </c:pt>
                  <c:pt idx="7">
                    <c:v>8</c:v>
                  </c:pt>
                  <c:pt idx="11">
                    <c:v>9</c:v>
                  </c:pt>
                  <c:pt idx="15">
                    <c:v>10</c:v>
                  </c:pt>
                  <c:pt idx="19">
                    <c:v>11</c:v>
                  </c:pt>
                  <c:pt idx="23">
                    <c:v>12</c:v>
                  </c:pt>
                  <c:pt idx="27">
                    <c:v>13</c:v>
                  </c:pt>
                  <c:pt idx="31">
                    <c:v>14</c:v>
                  </c:pt>
                  <c:pt idx="35">
                    <c:v>15</c:v>
                  </c:pt>
                  <c:pt idx="39">
                    <c:v>16</c:v>
                  </c:pt>
                  <c:pt idx="43">
                    <c:v>17</c:v>
                  </c:pt>
                  <c:pt idx="47">
                    <c:v>18</c:v>
                  </c:pt>
                  <c:pt idx="51">
                    <c:v>19</c:v>
                  </c:pt>
                  <c:pt idx="52">
                    <c:v>20</c:v>
                  </c:pt>
                  <c:pt idx="53">
                    <c:v>21</c:v>
                  </c:pt>
                  <c:pt idx="54">
                    <c:v>22</c:v>
                  </c:pt>
                  <c:pt idx="55">
                    <c:v>23</c:v>
                  </c:pt>
                  <c:pt idx="56">
                    <c:v>24</c:v>
                  </c:pt>
                </c:lvl>
              </c:multiLvlStrCache>
            </c:multiLvlStrRef>
          </c:cat>
          <c:val>
            <c:numRef>
              <c:f>PIVOT_TABLES!$Q$4:$Q$72</c:f>
              <c:numCache>
                <c:formatCode>_(* #,##0_);_(* \(#,##0\);_(* "-"??_);_(@_)</c:formatCode>
                <c:ptCount val="57"/>
                <c:pt idx="0">
                  <c:v>0</c:v>
                </c:pt>
                <c:pt idx="1">
                  <c:v>0</c:v>
                </c:pt>
                <c:pt idx="2">
                  <c:v>0</c:v>
                </c:pt>
                <c:pt idx="3">
                  <c:v>0</c:v>
                </c:pt>
                <c:pt idx="4">
                  <c:v>0</c:v>
                </c:pt>
                <c:pt idx="5">
                  <c:v>0</c:v>
                </c:pt>
                <c:pt idx="6">
                  <c:v>0</c:v>
                </c:pt>
                <c:pt idx="7">
                  <c:v>0</c:v>
                </c:pt>
                <c:pt idx="8">
                  <c:v>295954.95860243053</c:v>
                </c:pt>
                <c:pt idx="9">
                  <c:v>0</c:v>
                </c:pt>
                <c:pt idx="10">
                  <c:v>0</c:v>
                </c:pt>
                <c:pt idx="11">
                  <c:v>63946.883157552104</c:v>
                </c:pt>
                <c:pt idx="12">
                  <c:v>817114.90432074666</c:v>
                </c:pt>
                <c:pt idx="13">
                  <c:v>50937.356892361102</c:v>
                </c:pt>
                <c:pt idx="14">
                  <c:v>0</c:v>
                </c:pt>
                <c:pt idx="15">
                  <c:v>339305.04905915621</c:v>
                </c:pt>
                <c:pt idx="16">
                  <c:v>1319106.5582747401</c:v>
                </c:pt>
                <c:pt idx="17">
                  <c:v>50590.966113281262</c:v>
                </c:pt>
                <c:pt idx="18">
                  <c:v>22839.678068576381</c:v>
                </c:pt>
                <c:pt idx="19">
                  <c:v>885717.33411917055</c:v>
                </c:pt>
                <c:pt idx="20">
                  <c:v>1392133.1462551132</c:v>
                </c:pt>
                <c:pt idx="21">
                  <c:v>49887.875104166669</c:v>
                </c:pt>
                <c:pt idx="22">
                  <c:v>22103.314088653424</c:v>
                </c:pt>
                <c:pt idx="23">
                  <c:v>1060897.0031830431</c:v>
                </c:pt>
                <c:pt idx="24">
                  <c:v>1595693.1686222965</c:v>
                </c:pt>
                <c:pt idx="25">
                  <c:v>49354.416944444456</c:v>
                </c:pt>
                <c:pt idx="26">
                  <c:v>41840.114709201378</c:v>
                </c:pt>
                <c:pt idx="27">
                  <c:v>1271886.1243238114</c:v>
                </c:pt>
                <c:pt idx="28">
                  <c:v>1771994.1125721848</c:v>
                </c:pt>
                <c:pt idx="29">
                  <c:v>50121.261343315971</c:v>
                </c:pt>
                <c:pt idx="30">
                  <c:v>41267.616321614594</c:v>
                </c:pt>
                <c:pt idx="31">
                  <c:v>1316530.4373434547</c:v>
                </c:pt>
                <c:pt idx="32">
                  <c:v>1747062.5222460937</c:v>
                </c:pt>
                <c:pt idx="33">
                  <c:v>26604.399479166663</c:v>
                </c:pt>
                <c:pt idx="34">
                  <c:v>40284.012272135406</c:v>
                </c:pt>
                <c:pt idx="35">
                  <c:v>1274056.8597233077</c:v>
                </c:pt>
                <c:pt idx="36">
                  <c:v>1613758.9198730465</c:v>
                </c:pt>
                <c:pt idx="37">
                  <c:v>27026.224641927092</c:v>
                </c:pt>
                <c:pt idx="38">
                  <c:v>20501.08082682293</c:v>
                </c:pt>
                <c:pt idx="39">
                  <c:v>934752.49362231267</c:v>
                </c:pt>
                <c:pt idx="40">
                  <c:v>1356218.6749598521</c:v>
                </c:pt>
                <c:pt idx="41">
                  <c:v>26826.179248677505</c:v>
                </c:pt>
                <c:pt idx="42">
                  <c:v>0</c:v>
                </c:pt>
                <c:pt idx="43">
                  <c:v>533213.20403103298</c:v>
                </c:pt>
                <c:pt idx="44">
                  <c:v>1060197.9327115885</c:v>
                </c:pt>
                <c:pt idx="45">
                  <c:v>0</c:v>
                </c:pt>
                <c:pt idx="46">
                  <c:v>0</c:v>
                </c:pt>
                <c:pt idx="47">
                  <c:v>122558.27618272569</c:v>
                </c:pt>
                <c:pt idx="48">
                  <c:v>268263.89103515627</c:v>
                </c:pt>
                <c:pt idx="49">
                  <c:v>0</c:v>
                </c:pt>
                <c:pt idx="50">
                  <c:v>0</c:v>
                </c:pt>
                <c:pt idx="51">
                  <c:v>0</c:v>
                </c:pt>
                <c:pt idx="52">
                  <c:v>0</c:v>
                </c:pt>
                <c:pt idx="53">
                  <c:v>0</c:v>
                </c:pt>
                <c:pt idx="54">
                  <c:v>0</c:v>
                </c:pt>
                <c:pt idx="55">
                  <c:v>0</c:v>
                </c:pt>
                <c:pt idx="56">
                  <c:v>0</c:v>
                </c:pt>
              </c:numCache>
            </c:numRef>
          </c:val>
          <c:extLst>
            <c:ext xmlns:c16="http://schemas.microsoft.com/office/drawing/2014/chart" uri="{C3380CC4-5D6E-409C-BE32-E72D297353CC}">
              <c16:uniqueId val="{00000000-3C69-44D0-B66D-162CB5EB2A55}"/>
            </c:ext>
          </c:extLst>
        </c:ser>
        <c:dLbls>
          <c:showLegendKey val="0"/>
          <c:showVal val="0"/>
          <c:showCatName val="0"/>
          <c:showSerName val="0"/>
          <c:showPercent val="0"/>
          <c:showBubbleSize val="0"/>
        </c:dLbls>
        <c:gapWidth val="219"/>
        <c:axId val="1089459424"/>
        <c:axId val="1089464224"/>
      </c:barChart>
      <c:lineChart>
        <c:grouping val="standard"/>
        <c:varyColors val="0"/>
        <c:ser>
          <c:idx val="1"/>
          <c:order val="1"/>
          <c:tx>
            <c:strRef>
              <c:f>PIVOT_TABLES!$R$3</c:f>
              <c:strCache>
                <c:ptCount val="1"/>
                <c:pt idx="0">
                  <c:v>Total Hours Priced $0 to -$26/MWh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PIVOT_TABLES!$P$4:$P$72</c:f>
              <c:multiLvlStrCache>
                <c:ptCount val="57"/>
                <c:lvl>
                  <c:pt idx="7">
                    <c:v>Qtr1</c:v>
                  </c:pt>
                  <c:pt idx="8">
                    <c:v>Qtr2</c:v>
                  </c:pt>
                  <c:pt idx="9">
                    <c:v>Qtr3</c:v>
                  </c:pt>
                  <c:pt idx="10">
                    <c:v>Qtr4</c:v>
                  </c:pt>
                  <c:pt idx="11">
                    <c:v>Qtr1</c:v>
                  </c:pt>
                  <c:pt idx="12">
                    <c:v>Qtr2</c:v>
                  </c:pt>
                  <c:pt idx="13">
                    <c:v>Qtr3</c:v>
                  </c:pt>
                  <c:pt idx="14">
                    <c:v>Qtr4</c:v>
                  </c:pt>
                  <c:pt idx="15">
                    <c:v>Qtr1</c:v>
                  </c:pt>
                  <c:pt idx="16">
                    <c:v>Qtr2</c:v>
                  </c:pt>
                  <c:pt idx="17">
                    <c:v>Qtr3</c:v>
                  </c:pt>
                  <c:pt idx="18">
                    <c:v>Qtr4</c:v>
                  </c:pt>
                  <c:pt idx="19">
                    <c:v>Qtr1</c:v>
                  </c:pt>
                  <c:pt idx="20">
                    <c:v>Qtr2</c:v>
                  </c:pt>
                  <c:pt idx="21">
                    <c:v>Qtr3</c:v>
                  </c:pt>
                  <c:pt idx="22">
                    <c:v>Qtr4</c:v>
                  </c:pt>
                  <c:pt idx="23">
                    <c:v>Qtr1</c:v>
                  </c:pt>
                  <c:pt idx="24">
                    <c:v>Qtr2</c:v>
                  </c:pt>
                  <c:pt idx="25">
                    <c:v>Qtr3</c:v>
                  </c:pt>
                  <c:pt idx="26">
                    <c:v>Qtr4</c:v>
                  </c:pt>
                  <c:pt idx="27">
                    <c:v>Qtr1</c:v>
                  </c:pt>
                  <c:pt idx="28">
                    <c:v>Qtr2</c:v>
                  </c:pt>
                  <c:pt idx="29">
                    <c:v>Qtr3</c:v>
                  </c:pt>
                  <c:pt idx="30">
                    <c:v>Qtr4</c:v>
                  </c:pt>
                  <c:pt idx="31">
                    <c:v>Qtr1</c:v>
                  </c:pt>
                  <c:pt idx="32">
                    <c:v>Qtr2</c:v>
                  </c:pt>
                  <c:pt idx="33">
                    <c:v>Qtr3</c:v>
                  </c:pt>
                  <c:pt idx="34">
                    <c:v>Qtr4</c:v>
                  </c:pt>
                  <c:pt idx="35">
                    <c:v>Qtr1</c:v>
                  </c:pt>
                  <c:pt idx="36">
                    <c:v>Qtr2</c:v>
                  </c:pt>
                  <c:pt idx="37">
                    <c:v>Qtr3</c:v>
                  </c:pt>
                  <c:pt idx="38">
                    <c:v>Qtr4</c:v>
                  </c:pt>
                  <c:pt idx="39">
                    <c:v>Qtr1</c:v>
                  </c:pt>
                  <c:pt idx="40">
                    <c:v>Qtr2</c:v>
                  </c:pt>
                  <c:pt idx="41">
                    <c:v>Qtr3</c:v>
                  </c:pt>
                  <c:pt idx="42">
                    <c:v>Qtr4</c:v>
                  </c:pt>
                  <c:pt idx="43">
                    <c:v>Qtr1</c:v>
                  </c:pt>
                  <c:pt idx="44">
                    <c:v>Qtr2</c:v>
                  </c:pt>
                  <c:pt idx="45">
                    <c:v>Qtr3</c:v>
                  </c:pt>
                  <c:pt idx="46">
                    <c:v>Qtr4</c:v>
                  </c:pt>
                  <c:pt idx="47">
                    <c:v>Qtr1</c:v>
                  </c:pt>
                  <c:pt idx="48">
                    <c:v>Qtr2</c:v>
                  </c:pt>
                  <c:pt idx="49">
                    <c:v>Qtr3</c:v>
                  </c:pt>
                  <c:pt idx="50">
                    <c:v>Qtr4</c:v>
                  </c:pt>
                </c:lvl>
                <c:lvl>
                  <c:pt idx="0">
                    <c:v>1</c:v>
                  </c:pt>
                  <c:pt idx="1">
                    <c:v>2</c:v>
                  </c:pt>
                  <c:pt idx="2">
                    <c:v>3</c:v>
                  </c:pt>
                  <c:pt idx="3">
                    <c:v>4</c:v>
                  </c:pt>
                  <c:pt idx="4">
                    <c:v>5</c:v>
                  </c:pt>
                  <c:pt idx="5">
                    <c:v>6</c:v>
                  </c:pt>
                  <c:pt idx="6">
                    <c:v>7</c:v>
                  </c:pt>
                  <c:pt idx="7">
                    <c:v>8</c:v>
                  </c:pt>
                  <c:pt idx="11">
                    <c:v>9</c:v>
                  </c:pt>
                  <c:pt idx="15">
                    <c:v>10</c:v>
                  </c:pt>
                  <c:pt idx="19">
                    <c:v>11</c:v>
                  </c:pt>
                  <c:pt idx="23">
                    <c:v>12</c:v>
                  </c:pt>
                  <c:pt idx="27">
                    <c:v>13</c:v>
                  </c:pt>
                  <c:pt idx="31">
                    <c:v>14</c:v>
                  </c:pt>
                  <c:pt idx="35">
                    <c:v>15</c:v>
                  </c:pt>
                  <c:pt idx="39">
                    <c:v>16</c:v>
                  </c:pt>
                  <c:pt idx="43">
                    <c:v>17</c:v>
                  </c:pt>
                  <c:pt idx="47">
                    <c:v>18</c:v>
                  </c:pt>
                  <c:pt idx="51">
                    <c:v>19</c:v>
                  </c:pt>
                  <c:pt idx="52">
                    <c:v>20</c:v>
                  </c:pt>
                  <c:pt idx="53">
                    <c:v>21</c:v>
                  </c:pt>
                  <c:pt idx="54">
                    <c:v>22</c:v>
                  </c:pt>
                  <c:pt idx="55">
                    <c:v>23</c:v>
                  </c:pt>
                  <c:pt idx="56">
                    <c:v>24</c:v>
                  </c:pt>
                </c:lvl>
              </c:multiLvlStrCache>
            </c:multiLvlStrRef>
          </c:cat>
          <c:val>
            <c:numRef>
              <c:f>PIVOT_TABLES!$R$4:$R$72</c:f>
              <c:numCache>
                <c:formatCode>#,##0;\-#,##0</c:formatCode>
                <c:ptCount val="57"/>
                <c:pt idx="0">
                  <c:v>0</c:v>
                </c:pt>
                <c:pt idx="1">
                  <c:v>0</c:v>
                </c:pt>
                <c:pt idx="2">
                  <c:v>0</c:v>
                </c:pt>
                <c:pt idx="3">
                  <c:v>0</c:v>
                </c:pt>
                <c:pt idx="4">
                  <c:v>0</c:v>
                </c:pt>
                <c:pt idx="5">
                  <c:v>0</c:v>
                </c:pt>
                <c:pt idx="6">
                  <c:v>0</c:v>
                </c:pt>
                <c:pt idx="7">
                  <c:v>0</c:v>
                </c:pt>
                <c:pt idx="8">
                  <c:v>14</c:v>
                </c:pt>
                <c:pt idx="9">
                  <c:v>0</c:v>
                </c:pt>
                <c:pt idx="10">
                  <c:v>0</c:v>
                </c:pt>
                <c:pt idx="11">
                  <c:v>3</c:v>
                </c:pt>
                <c:pt idx="12">
                  <c:v>34</c:v>
                </c:pt>
                <c:pt idx="13">
                  <c:v>2</c:v>
                </c:pt>
                <c:pt idx="14">
                  <c:v>0</c:v>
                </c:pt>
                <c:pt idx="15">
                  <c:v>16</c:v>
                </c:pt>
                <c:pt idx="16">
                  <c:v>56</c:v>
                </c:pt>
                <c:pt idx="17">
                  <c:v>2</c:v>
                </c:pt>
                <c:pt idx="18">
                  <c:v>1</c:v>
                </c:pt>
                <c:pt idx="19">
                  <c:v>40</c:v>
                </c:pt>
                <c:pt idx="20">
                  <c:v>60</c:v>
                </c:pt>
                <c:pt idx="21">
                  <c:v>2</c:v>
                </c:pt>
                <c:pt idx="22">
                  <c:v>1</c:v>
                </c:pt>
                <c:pt idx="23">
                  <c:v>50</c:v>
                </c:pt>
                <c:pt idx="24">
                  <c:v>67</c:v>
                </c:pt>
                <c:pt idx="25">
                  <c:v>2</c:v>
                </c:pt>
                <c:pt idx="26">
                  <c:v>2</c:v>
                </c:pt>
                <c:pt idx="27">
                  <c:v>59</c:v>
                </c:pt>
                <c:pt idx="28">
                  <c:v>77</c:v>
                </c:pt>
                <c:pt idx="29">
                  <c:v>2</c:v>
                </c:pt>
                <c:pt idx="30">
                  <c:v>2</c:v>
                </c:pt>
                <c:pt idx="31">
                  <c:v>61</c:v>
                </c:pt>
                <c:pt idx="32">
                  <c:v>77</c:v>
                </c:pt>
                <c:pt idx="33">
                  <c:v>1</c:v>
                </c:pt>
                <c:pt idx="34">
                  <c:v>2</c:v>
                </c:pt>
                <c:pt idx="35">
                  <c:v>61</c:v>
                </c:pt>
                <c:pt idx="36">
                  <c:v>72</c:v>
                </c:pt>
                <c:pt idx="37">
                  <c:v>1</c:v>
                </c:pt>
                <c:pt idx="38">
                  <c:v>1</c:v>
                </c:pt>
                <c:pt idx="39">
                  <c:v>44</c:v>
                </c:pt>
                <c:pt idx="40">
                  <c:v>60</c:v>
                </c:pt>
                <c:pt idx="41">
                  <c:v>1</c:v>
                </c:pt>
                <c:pt idx="42">
                  <c:v>0</c:v>
                </c:pt>
                <c:pt idx="43">
                  <c:v>25</c:v>
                </c:pt>
                <c:pt idx="44">
                  <c:v>46</c:v>
                </c:pt>
                <c:pt idx="45">
                  <c:v>0</c:v>
                </c:pt>
                <c:pt idx="46">
                  <c:v>0</c:v>
                </c:pt>
                <c:pt idx="47">
                  <c:v>6</c:v>
                </c:pt>
                <c:pt idx="48">
                  <c:v>13</c:v>
                </c:pt>
                <c:pt idx="49">
                  <c:v>0</c:v>
                </c:pt>
                <c:pt idx="50">
                  <c:v>0</c:v>
                </c:pt>
                <c:pt idx="51">
                  <c:v>0</c:v>
                </c:pt>
                <c:pt idx="52">
                  <c:v>0</c:v>
                </c:pt>
                <c:pt idx="53">
                  <c:v>0</c:v>
                </c:pt>
                <c:pt idx="54">
                  <c:v>0</c:v>
                </c:pt>
                <c:pt idx="55">
                  <c:v>0</c:v>
                </c:pt>
                <c:pt idx="56">
                  <c:v>0</c:v>
                </c:pt>
              </c:numCache>
            </c:numRef>
          </c:val>
          <c:smooth val="0"/>
          <c:extLst>
            <c:ext xmlns:c16="http://schemas.microsoft.com/office/drawing/2014/chart" uri="{C3380CC4-5D6E-409C-BE32-E72D297353CC}">
              <c16:uniqueId val="{00000001-3C69-44D0-B66D-162CB5EB2A55}"/>
            </c:ext>
          </c:extLst>
        </c:ser>
        <c:ser>
          <c:idx val="2"/>
          <c:order val="2"/>
          <c:tx>
            <c:strRef>
              <c:f>PIVOT_TABLES!$S$3</c:f>
              <c:strCache>
                <c:ptCount val="1"/>
                <c:pt idx="0">
                  <c:v>Total Hours Priced Less Than -$26/MWh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PIVOT_TABLES!$P$4:$P$72</c:f>
              <c:multiLvlStrCache>
                <c:ptCount val="57"/>
                <c:lvl>
                  <c:pt idx="7">
                    <c:v>Qtr1</c:v>
                  </c:pt>
                  <c:pt idx="8">
                    <c:v>Qtr2</c:v>
                  </c:pt>
                  <c:pt idx="9">
                    <c:v>Qtr3</c:v>
                  </c:pt>
                  <c:pt idx="10">
                    <c:v>Qtr4</c:v>
                  </c:pt>
                  <c:pt idx="11">
                    <c:v>Qtr1</c:v>
                  </c:pt>
                  <c:pt idx="12">
                    <c:v>Qtr2</c:v>
                  </c:pt>
                  <c:pt idx="13">
                    <c:v>Qtr3</c:v>
                  </c:pt>
                  <c:pt idx="14">
                    <c:v>Qtr4</c:v>
                  </c:pt>
                  <c:pt idx="15">
                    <c:v>Qtr1</c:v>
                  </c:pt>
                  <c:pt idx="16">
                    <c:v>Qtr2</c:v>
                  </c:pt>
                  <c:pt idx="17">
                    <c:v>Qtr3</c:v>
                  </c:pt>
                  <c:pt idx="18">
                    <c:v>Qtr4</c:v>
                  </c:pt>
                  <c:pt idx="19">
                    <c:v>Qtr1</c:v>
                  </c:pt>
                  <c:pt idx="20">
                    <c:v>Qtr2</c:v>
                  </c:pt>
                  <c:pt idx="21">
                    <c:v>Qtr3</c:v>
                  </c:pt>
                  <c:pt idx="22">
                    <c:v>Qtr4</c:v>
                  </c:pt>
                  <c:pt idx="23">
                    <c:v>Qtr1</c:v>
                  </c:pt>
                  <c:pt idx="24">
                    <c:v>Qtr2</c:v>
                  </c:pt>
                  <c:pt idx="25">
                    <c:v>Qtr3</c:v>
                  </c:pt>
                  <c:pt idx="26">
                    <c:v>Qtr4</c:v>
                  </c:pt>
                  <c:pt idx="27">
                    <c:v>Qtr1</c:v>
                  </c:pt>
                  <c:pt idx="28">
                    <c:v>Qtr2</c:v>
                  </c:pt>
                  <c:pt idx="29">
                    <c:v>Qtr3</c:v>
                  </c:pt>
                  <c:pt idx="30">
                    <c:v>Qtr4</c:v>
                  </c:pt>
                  <c:pt idx="31">
                    <c:v>Qtr1</c:v>
                  </c:pt>
                  <c:pt idx="32">
                    <c:v>Qtr2</c:v>
                  </c:pt>
                  <c:pt idx="33">
                    <c:v>Qtr3</c:v>
                  </c:pt>
                  <c:pt idx="34">
                    <c:v>Qtr4</c:v>
                  </c:pt>
                  <c:pt idx="35">
                    <c:v>Qtr1</c:v>
                  </c:pt>
                  <c:pt idx="36">
                    <c:v>Qtr2</c:v>
                  </c:pt>
                  <c:pt idx="37">
                    <c:v>Qtr3</c:v>
                  </c:pt>
                  <c:pt idx="38">
                    <c:v>Qtr4</c:v>
                  </c:pt>
                  <c:pt idx="39">
                    <c:v>Qtr1</c:v>
                  </c:pt>
                  <c:pt idx="40">
                    <c:v>Qtr2</c:v>
                  </c:pt>
                  <c:pt idx="41">
                    <c:v>Qtr3</c:v>
                  </c:pt>
                  <c:pt idx="42">
                    <c:v>Qtr4</c:v>
                  </c:pt>
                  <c:pt idx="43">
                    <c:v>Qtr1</c:v>
                  </c:pt>
                  <c:pt idx="44">
                    <c:v>Qtr2</c:v>
                  </c:pt>
                  <c:pt idx="45">
                    <c:v>Qtr3</c:v>
                  </c:pt>
                  <c:pt idx="46">
                    <c:v>Qtr4</c:v>
                  </c:pt>
                  <c:pt idx="47">
                    <c:v>Qtr1</c:v>
                  </c:pt>
                  <c:pt idx="48">
                    <c:v>Qtr2</c:v>
                  </c:pt>
                  <c:pt idx="49">
                    <c:v>Qtr3</c:v>
                  </c:pt>
                  <c:pt idx="50">
                    <c:v>Qtr4</c:v>
                  </c:pt>
                </c:lvl>
                <c:lvl>
                  <c:pt idx="0">
                    <c:v>1</c:v>
                  </c:pt>
                  <c:pt idx="1">
                    <c:v>2</c:v>
                  </c:pt>
                  <c:pt idx="2">
                    <c:v>3</c:v>
                  </c:pt>
                  <c:pt idx="3">
                    <c:v>4</c:v>
                  </c:pt>
                  <c:pt idx="4">
                    <c:v>5</c:v>
                  </c:pt>
                  <c:pt idx="5">
                    <c:v>6</c:v>
                  </c:pt>
                  <c:pt idx="6">
                    <c:v>7</c:v>
                  </c:pt>
                  <c:pt idx="7">
                    <c:v>8</c:v>
                  </c:pt>
                  <c:pt idx="11">
                    <c:v>9</c:v>
                  </c:pt>
                  <c:pt idx="15">
                    <c:v>10</c:v>
                  </c:pt>
                  <c:pt idx="19">
                    <c:v>11</c:v>
                  </c:pt>
                  <c:pt idx="23">
                    <c:v>12</c:v>
                  </c:pt>
                  <c:pt idx="27">
                    <c:v>13</c:v>
                  </c:pt>
                  <c:pt idx="31">
                    <c:v>14</c:v>
                  </c:pt>
                  <c:pt idx="35">
                    <c:v>15</c:v>
                  </c:pt>
                  <c:pt idx="39">
                    <c:v>16</c:v>
                  </c:pt>
                  <c:pt idx="43">
                    <c:v>17</c:v>
                  </c:pt>
                  <c:pt idx="47">
                    <c:v>18</c:v>
                  </c:pt>
                  <c:pt idx="51">
                    <c:v>19</c:v>
                  </c:pt>
                  <c:pt idx="52">
                    <c:v>20</c:v>
                  </c:pt>
                  <c:pt idx="53">
                    <c:v>21</c:v>
                  </c:pt>
                  <c:pt idx="54">
                    <c:v>22</c:v>
                  </c:pt>
                  <c:pt idx="55">
                    <c:v>23</c:v>
                  </c:pt>
                  <c:pt idx="56">
                    <c:v>24</c:v>
                  </c:pt>
                </c:lvl>
              </c:multiLvlStrCache>
            </c:multiLvlStrRef>
          </c:cat>
          <c:val>
            <c:numRef>
              <c:f>PIVOT_TABLES!$S$4:$S$72</c:f>
              <c:numCache>
                <c:formatCode>#,##0;\-#,##0</c:formatCode>
                <c:ptCount val="57"/>
                <c:pt idx="0">
                  <c:v>0</c:v>
                </c:pt>
                <c:pt idx="1">
                  <c:v>0</c:v>
                </c:pt>
                <c:pt idx="2">
                  <c:v>0</c:v>
                </c:pt>
                <c:pt idx="3">
                  <c:v>0</c:v>
                </c:pt>
                <c:pt idx="4">
                  <c:v>0</c:v>
                </c:pt>
                <c:pt idx="5">
                  <c:v>0</c:v>
                </c:pt>
                <c:pt idx="6">
                  <c:v>0</c:v>
                </c:pt>
                <c:pt idx="7">
                  <c:v>0</c:v>
                </c:pt>
                <c:pt idx="8">
                  <c:v>0</c:v>
                </c:pt>
                <c:pt idx="9">
                  <c:v>0</c:v>
                </c:pt>
                <c:pt idx="10">
                  <c:v>0</c:v>
                </c:pt>
                <c:pt idx="11">
                  <c:v>0</c:v>
                </c:pt>
                <c:pt idx="12">
                  <c:v>3</c:v>
                </c:pt>
                <c:pt idx="13">
                  <c:v>0</c:v>
                </c:pt>
                <c:pt idx="14">
                  <c:v>0</c:v>
                </c:pt>
                <c:pt idx="15">
                  <c:v>0</c:v>
                </c:pt>
                <c:pt idx="16">
                  <c:v>4</c:v>
                </c:pt>
                <c:pt idx="17">
                  <c:v>0</c:v>
                </c:pt>
                <c:pt idx="18">
                  <c:v>0</c:v>
                </c:pt>
                <c:pt idx="19">
                  <c:v>2</c:v>
                </c:pt>
                <c:pt idx="20">
                  <c:v>5</c:v>
                </c:pt>
                <c:pt idx="21">
                  <c:v>0</c:v>
                </c:pt>
                <c:pt idx="22">
                  <c:v>0</c:v>
                </c:pt>
                <c:pt idx="23">
                  <c:v>2</c:v>
                </c:pt>
                <c:pt idx="24">
                  <c:v>9</c:v>
                </c:pt>
                <c:pt idx="25">
                  <c:v>0</c:v>
                </c:pt>
                <c:pt idx="26">
                  <c:v>0</c:v>
                </c:pt>
                <c:pt idx="27">
                  <c:v>4</c:v>
                </c:pt>
                <c:pt idx="28">
                  <c:v>9</c:v>
                </c:pt>
                <c:pt idx="29">
                  <c:v>0</c:v>
                </c:pt>
                <c:pt idx="30">
                  <c:v>0</c:v>
                </c:pt>
                <c:pt idx="31">
                  <c:v>5</c:v>
                </c:pt>
                <c:pt idx="32">
                  <c:v>9</c:v>
                </c:pt>
                <c:pt idx="33">
                  <c:v>0</c:v>
                </c:pt>
                <c:pt idx="34">
                  <c:v>0</c:v>
                </c:pt>
                <c:pt idx="35">
                  <c:v>4</c:v>
                </c:pt>
                <c:pt idx="36">
                  <c:v>9</c:v>
                </c:pt>
                <c:pt idx="37">
                  <c:v>0</c:v>
                </c:pt>
                <c:pt idx="38">
                  <c:v>0</c:v>
                </c:pt>
                <c:pt idx="39">
                  <c:v>4</c:v>
                </c:pt>
                <c:pt idx="40">
                  <c:v>8</c:v>
                </c:pt>
                <c:pt idx="41">
                  <c:v>0</c:v>
                </c:pt>
                <c:pt idx="42">
                  <c:v>0</c:v>
                </c:pt>
                <c:pt idx="43">
                  <c:v>2</c:v>
                </c:pt>
                <c:pt idx="44">
                  <c:v>5</c:v>
                </c:pt>
                <c:pt idx="45">
                  <c:v>0</c:v>
                </c:pt>
                <c:pt idx="46">
                  <c:v>0</c:v>
                </c:pt>
                <c:pt idx="47">
                  <c:v>0</c:v>
                </c:pt>
                <c:pt idx="48">
                  <c:v>0</c:v>
                </c:pt>
                <c:pt idx="49">
                  <c:v>0</c:v>
                </c:pt>
                <c:pt idx="50">
                  <c:v>0</c:v>
                </c:pt>
                <c:pt idx="51">
                  <c:v>0</c:v>
                </c:pt>
                <c:pt idx="52">
                  <c:v>0</c:v>
                </c:pt>
                <c:pt idx="53">
                  <c:v>0</c:v>
                </c:pt>
                <c:pt idx="54">
                  <c:v>0</c:v>
                </c:pt>
                <c:pt idx="55">
                  <c:v>0</c:v>
                </c:pt>
                <c:pt idx="56">
                  <c:v>0</c:v>
                </c:pt>
              </c:numCache>
            </c:numRef>
          </c:val>
          <c:smooth val="0"/>
          <c:extLst>
            <c:ext xmlns:c16="http://schemas.microsoft.com/office/drawing/2014/chart" uri="{C3380CC4-5D6E-409C-BE32-E72D297353CC}">
              <c16:uniqueId val="{00000002-3C69-44D0-B66D-162CB5EB2A55}"/>
            </c:ext>
          </c:extLst>
        </c:ser>
        <c:dLbls>
          <c:showLegendKey val="0"/>
          <c:showVal val="0"/>
          <c:showCatName val="0"/>
          <c:showSerName val="0"/>
          <c:showPercent val="0"/>
          <c:showBubbleSize val="0"/>
        </c:dLbls>
        <c:marker val="1"/>
        <c:smooth val="0"/>
        <c:axId val="695616703"/>
        <c:axId val="695626783"/>
      </c:lineChart>
      <c:catAx>
        <c:axId val="108945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464224"/>
        <c:crosses val="autoZero"/>
        <c:auto val="1"/>
        <c:lblAlgn val="ctr"/>
        <c:lblOffset val="100"/>
        <c:noMultiLvlLbl val="0"/>
      </c:catAx>
      <c:valAx>
        <c:axId val="108946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MWh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459424"/>
        <c:crosses val="autoZero"/>
        <c:crossBetween val="between"/>
      </c:valAx>
      <c:valAx>
        <c:axId val="695626783"/>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Hours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616703"/>
        <c:crosses val="max"/>
        <c:crossBetween val="between"/>
      </c:valAx>
      <c:catAx>
        <c:axId val="695616703"/>
        <c:scaling>
          <c:orientation val="minMax"/>
        </c:scaling>
        <c:delete val="1"/>
        <c:axPos val="b"/>
        <c:numFmt formatCode="General" sourceLinked="1"/>
        <c:majorTickMark val="out"/>
        <c:minorTickMark val="none"/>
        <c:tickLblPos val="nextTo"/>
        <c:crossAx val="695626783"/>
        <c:crosses val="autoZero"/>
        <c:auto val="1"/>
        <c:lblAlgn val="ctr"/>
        <c:lblOffset val="100"/>
        <c:noMultiLvlLbl val="0"/>
      </c:catAx>
      <c:spPr>
        <a:noFill/>
        <a:ln>
          <a:noFill/>
        </a:ln>
        <a:effectLst/>
      </c:spPr>
    </c:plotArea>
    <c:legend>
      <c:legendPos val="r"/>
      <c:layout>
        <c:manualLayout>
          <c:xMode val="edge"/>
          <c:yMode val="edge"/>
          <c:x val="0.80180496668685641"/>
          <c:y val="0.18176783966077473"/>
          <c:w val="0.18537452049263073"/>
          <c:h val="0.596240572903215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1312B5-BC06-484F-9183-C1EA2EF20EED}">
  <we:reference id="wa200005502" version="1.0.0.11" store="en-US" storeType="OMEX"/>
  <we:alternateReferences>
    <we:reference id="wa200005502" version="1.0.0.11" store="wa200005502" storeType="OMEX"/>
  </we:alternateReferences>
  <we:properties>
    <we:property name="docId" value="&quot;0YP1fA6nWieOI90JCAtI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D5C1-97DB-4401-9225-90ADDF28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Ramos</dc:creator>
  <cp:keywords/>
  <dc:description/>
  <cp:lastModifiedBy>Nikki Ramos</cp:lastModifiedBy>
  <cp:revision>2</cp:revision>
  <dcterms:created xsi:type="dcterms:W3CDTF">2025-05-01T22:01:00Z</dcterms:created>
  <dcterms:modified xsi:type="dcterms:W3CDTF">2025-05-01T22:01:00Z</dcterms:modified>
</cp:coreProperties>
</file>